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7C" w:rsidRDefault="004A20AF">
      <w:pPr>
        <w:pStyle w:val="1"/>
        <w:ind w:firstLine="0"/>
      </w:pPr>
      <w:r>
        <w:t xml:space="preserve">ОСНОВНЫЕ ИЗМЕНЕНИЯ В ТРУДОВОМ ЗАКОНОДАТЕЛЬСТВЕ  </w:t>
      </w:r>
    </w:p>
    <w:p w:rsidR="00074C7C" w:rsidRDefault="004A20AF">
      <w:pPr>
        <w:spacing w:after="0" w:line="259" w:lineRule="auto"/>
        <w:ind w:right="6" w:firstLine="0"/>
        <w:jc w:val="center"/>
      </w:pPr>
      <w:r>
        <w:rPr>
          <w:b/>
        </w:rPr>
        <w:t xml:space="preserve">В 2021 ГОДУ </w:t>
      </w:r>
    </w:p>
    <w:p w:rsidR="00074C7C" w:rsidRDefault="004A20AF">
      <w:pPr>
        <w:spacing w:after="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ind w:left="-15"/>
      </w:pPr>
      <w:r>
        <w:t xml:space="preserve">Материал подготовлен с использованием правовых актов по состоянию на 12.04.2021 года </w:t>
      </w:r>
    </w:p>
    <w:p w:rsidR="00074C7C" w:rsidRDefault="004A20AF">
      <w:pPr>
        <w:spacing w:after="32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pStyle w:val="1"/>
        <w:ind w:left="711" w:firstLine="0"/>
      </w:pPr>
      <w:r>
        <w:t xml:space="preserve">МРОТ в 2021 году вырос </w:t>
      </w:r>
    </w:p>
    <w:p w:rsidR="00074C7C" w:rsidRDefault="004A20AF">
      <w:pPr>
        <w:spacing w:after="28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ind w:left="-15"/>
      </w:pPr>
      <w:r>
        <w:t xml:space="preserve">С 1 января 2021 года МРОТ и прожиточный минимум рассчитываются по </w:t>
      </w:r>
      <w:r>
        <w:t xml:space="preserve">новой методике. </w:t>
      </w:r>
    </w:p>
    <w:p w:rsidR="00074C7C" w:rsidRDefault="004A20AF">
      <w:pPr>
        <w:ind w:left="-15"/>
      </w:pPr>
      <w:r>
        <w:t xml:space="preserve">Суть заключается в следующем: прожиточный минимум теперь будет считаться не от потребительской корзины, а от среднедушевого дохода граждан, а МРОТ – от медианной заработной платы. </w:t>
      </w:r>
    </w:p>
    <w:p w:rsidR="00074C7C" w:rsidRDefault="004A20AF">
      <w:pPr>
        <w:ind w:left="-15"/>
      </w:pPr>
      <w:r>
        <w:t>Под медианной заработной платой следует понимать сумму, от</w:t>
      </w:r>
      <w:r>
        <w:t xml:space="preserve">носительно которой у одной половины населения зарплаты выше, а у другой – ниже. </w:t>
      </w:r>
    </w:p>
    <w:p w:rsidR="00074C7C" w:rsidRDefault="004A20AF">
      <w:pPr>
        <w:ind w:left="-15"/>
      </w:pPr>
      <w:r>
        <w:t xml:space="preserve">В 2021 году МРОТ с учетом новой методики </w:t>
      </w:r>
      <w:proofErr w:type="gramStart"/>
      <w:r>
        <w:t>расчета  составляет</w:t>
      </w:r>
      <w:proofErr w:type="gramEnd"/>
      <w:r>
        <w:t xml:space="preserve"> 42 % от указанной медианы, а это 12 792 руб. </w:t>
      </w:r>
    </w:p>
    <w:p w:rsidR="00074C7C" w:rsidRDefault="004A20AF">
      <w:pPr>
        <w:ind w:left="-15"/>
      </w:pPr>
      <w:r>
        <w:t>Федеральный МРОТ пересматривается раз в год. От него зависят выплаты</w:t>
      </w:r>
      <w:r>
        <w:t xml:space="preserve"> по заработной плате и больничным.  </w:t>
      </w:r>
    </w:p>
    <w:p w:rsidR="00074C7C" w:rsidRDefault="004A20AF">
      <w:pPr>
        <w:ind w:left="-15"/>
      </w:pPr>
      <w:r>
        <w:t xml:space="preserve">МРОТ в Бурятии с 1 января 2021 года – 12 792 рубля плюс районный коэффициент и процентная надбавка за стаж работы на Крайнем Севере и приравненных местностях. </w:t>
      </w:r>
    </w:p>
    <w:p w:rsidR="00074C7C" w:rsidRDefault="004A20AF">
      <w:pPr>
        <w:ind w:left="-15"/>
      </w:pPr>
      <w:r>
        <w:t>Для работодателя важно, чтобы выплаты сотрудников, отработа</w:t>
      </w:r>
      <w:r>
        <w:t xml:space="preserve">вших полный месяц, не были меньше величины МРОТ. </w:t>
      </w:r>
    </w:p>
    <w:p w:rsidR="00074C7C" w:rsidRDefault="004A20AF">
      <w:pPr>
        <w:spacing w:after="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pStyle w:val="1"/>
        <w:ind w:left="-15"/>
      </w:pPr>
      <w:r>
        <w:t xml:space="preserve">С 16 апреля установлены специальные сроки для подачи работником иска о возмещении морального вреда </w:t>
      </w:r>
    </w:p>
    <w:p w:rsidR="00074C7C" w:rsidRDefault="004A20AF">
      <w:pPr>
        <w:spacing w:after="24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ind w:left="711" w:firstLine="0"/>
      </w:pPr>
      <w:r>
        <w:t xml:space="preserve">Федеральный закон от 05.04.2021 №74-ФЗ </w:t>
      </w:r>
    </w:p>
    <w:p w:rsidR="00074C7C" w:rsidRDefault="004A20AF">
      <w:pPr>
        <w:ind w:left="-15"/>
      </w:pPr>
      <w:r>
        <w:t xml:space="preserve">Если работник не заявлял о компенсации морального вреда вместе с основным требованием, то для данного иска у него есть 3 месяца с момента вступления в силу решения суда по основному требованию. </w:t>
      </w:r>
    </w:p>
    <w:p w:rsidR="00074C7C" w:rsidRDefault="004A20AF">
      <w:pPr>
        <w:spacing w:after="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pStyle w:val="1"/>
        <w:ind w:left="-15"/>
      </w:pPr>
      <w:r>
        <w:t>С 20 марта больше многодетных работников могут брать отпуск</w:t>
      </w:r>
      <w:r>
        <w:t xml:space="preserve"> в любое время </w:t>
      </w:r>
    </w:p>
    <w:p w:rsidR="00074C7C" w:rsidRDefault="004A20AF">
      <w:pPr>
        <w:spacing w:after="20" w:line="259" w:lineRule="auto"/>
        <w:ind w:left="711" w:firstLine="0"/>
        <w:jc w:val="left"/>
      </w:pPr>
      <w:r>
        <w:rPr>
          <w:b/>
        </w:rPr>
        <w:t xml:space="preserve"> </w:t>
      </w:r>
    </w:p>
    <w:p w:rsidR="00074C7C" w:rsidRDefault="004A20AF">
      <w:pPr>
        <w:ind w:left="711" w:firstLine="0"/>
      </w:pPr>
      <w:r>
        <w:t xml:space="preserve">Федеральный закон от 09.03.2021 №34-ФЗ </w:t>
      </w:r>
    </w:p>
    <w:p w:rsidR="00074C7C" w:rsidRDefault="004A20AF">
      <w:pPr>
        <w:ind w:left="-15"/>
      </w:pPr>
      <w:r>
        <w:t>Ежегодный отпуск в любое время должен предоставляться по желанию сотрудников, имеющих трех и более детей в возрасте до восемнадцати лет. При этом хотя бы один ребенок должен быть младше четырнадцати</w:t>
      </w:r>
      <w:r>
        <w:t xml:space="preserve"> лет. Ранее льготой были вправе воспользоваться многодетные работники, только если все дети младше 12 лет. </w:t>
      </w:r>
    </w:p>
    <w:p w:rsidR="00074C7C" w:rsidRDefault="004A20AF">
      <w:pPr>
        <w:spacing w:after="0" w:line="259" w:lineRule="auto"/>
        <w:ind w:left="711" w:firstLine="0"/>
        <w:jc w:val="left"/>
      </w:pPr>
      <w:r>
        <w:lastRenderedPageBreak/>
        <w:t xml:space="preserve"> </w:t>
      </w:r>
    </w:p>
    <w:p w:rsidR="00074C7C" w:rsidRDefault="004A20AF">
      <w:pPr>
        <w:pStyle w:val="1"/>
        <w:ind w:left="-15"/>
      </w:pPr>
      <w:r>
        <w:t xml:space="preserve">С 1 января начали действовать новые правила, регламентирующие удаленную работу </w:t>
      </w:r>
    </w:p>
    <w:p w:rsidR="00074C7C" w:rsidRDefault="004A20AF">
      <w:pPr>
        <w:spacing w:after="18" w:line="259" w:lineRule="auto"/>
        <w:ind w:left="711" w:firstLine="0"/>
        <w:jc w:val="left"/>
      </w:pPr>
      <w:r>
        <w:rPr>
          <w:b/>
        </w:rPr>
        <w:t xml:space="preserve"> </w:t>
      </w:r>
    </w:p>
    <w:p w:rsidR="00074C7C" w:rsidRDefault="004A20AF">
      <w:pPr>
        <w:ind w:left="711" w:right="2329" w:firstLine="0"/>
      </w:pPr>
      <w:r>
        <w:t xml:space="preserve">Федеральный закон от 08.12.2020 №407-ФЗ Главные изменения: </w:t>
      </w:r>
    </w:p>
    <w:p w:rsidR="00074C7C" w:rsidRDefault="004A20AF">
      <w:pPr>
        <w:numPr>
          <w:ilvl w:val="0"/>
          <w:numId w:val="1"/>
        </w:numPr>
      </w:pPr>
      <w:r>
        <w:t>наря</w:t>
      </w:r>
      <w:r>
        <w:t>ду с постоянной дистанционной работой появилось два вида временной – непрерывная «</w:t>
      </w:r>
      <w:proofErr w:type="spellStart"/>
      <w:r>
        <w:t>удаленка</w:t>
      </w:r>
      <w:proofErr w:type="spellEnd"/>
      <w:r>
        <w:t xml:space="preserve">» сроком не более полугода, чередование работы дистанционно и в офисе; </w:t>
      </w:r>
    </w:p>
    <w:p w:rsidR="00074C7C" w:rsidRDefault="004A20AF">
      <w:pPr>
        <w:numPr>
          <w:ilvl w:val="0"/>
          <w:numId w:val="1"/>
        </w:numPr>
      </w:pPr>
      <w:r>
        <w:t>работодатель может по своей инициативе временно перевести персонал на дистанционную работу в 2</w:t>
      </w:r>
      <w:r>
        <w:t xml:space="preserve"> случаях: если есть решение органов государственной власти или местного самоуправления; если жизнь либо нормальные жизненные условия населения или его части находятся под угрозой (например, при эпидемии); </w:t>
      </w:r>
    </w:p>
    <w:p w:rsidR="00074C7C" w:rsidRDefault="004A20AF">
      <w:pPr>
        <w:numPr>
          <w:ilvl w:val="0"/>
          <w:numId w:val="1"/>
        </w:numPr>
      </w:pPr>
      <w:r>
        <w:t>работодатель обязан обеспечить «</w:t>
      </w:r>
      <w:proofErr w:type="spellStart"/>
      <w:r>
        <w:t>дистанционщика</w:t>
      </w:r>
      <w:proofErr w:type="spellEnd"/>
      <w:r>
        <w:t>» не</w:t>
      </w:r>
      <w:r>
        <w:t xml:space="preserve">обходимым оборудованием. Работник может использовать свои либо арендованные средства с согласия или ведома работодателя. Тогда нужно выплатить ему компенсацию и возместить расходы; </w:t>
      </w:r>
    </w:p>
    <w:p w:rsidR="00074C7C" w:rsidRDefault="004A20AF">
      <w:pPr>
        <w:numPr>
          <w:ilvl w:val="0"/>
          <w:numId w:val="1"/>
        </w:numPr>
      </w:pPr>
      <w:r>
        <w:t>дистанционного работника можно уволить, если он без уважительной причины н</w:t>
      </w:r>
      <w:r>
        <w:t xml:space="preserve">е выходит на связь более 2 рабочих дней подряд (ст. 312.8 ТК РФ). </w:t>
      </w:r>
    </w:p>
    <w:p w:rsidR="00074C7C" w:rsidRDefault="004A20AF">
      <w:pPr>
        <w:pStyle w:val="1"/>
        <w:ind w:left="711" w:firstLine="0"/>
      </w:pPr>
      <w:r>
        <w:t xml:space="preserve">Дополнительные причины для увольнения </w:t>
      </w:r>
    </w:p>
    <w:p w:rsidR="00074C7C" w:rsidRDefault="004A20AF">
      <w:pPr>
        <w:ind w:left="-15"/>
      </w:pPr>
      <w:r>
        <w:t xml:space="preserve">Дистанционного работника можно уволить по стандартным основаниям, из ТК РФ. Но в </w:t>
      </w:r>
      <w:r>
        <w:t xml:space="preserve">ст. 312.8 ТК РФ предусмотрели дополнительные причины увольнения, которые относятся только к </w:t>
      </w:r>
      <w:proofErr w:type="spellStart"/>
      <w:r>
        <w:t>удаленщикам</w:t>
      </w:r>
      <w:proofErr w:type="spellEnd"/>
      <w:r>
        <w:t xml:space="preserve">: </w:t>
      </w:r>
    </w:p>
    <w:p w:rsidR="00074C7C" w:rsidRDefault="004A20AF">
      <w:pPr>
        <w:ind w:left="-15"/>
      </w:pPr>
      <w:r>
        <w:t xml:space="preserve">Работник без уважительной причины не выходит на связь с работодателем больше двух рабочих дней подряд со дня, в который работодатель направил запрос. </w:t>
      </w:r>
      <w:r>
        <w:t xml:space="preserve">Работодатель может предусмотреть более длительный срок для увольнения. Работник изменил местность выполнения трудовой функции и больше не может работать на прежних условиях. </w:t>
      </w:r>
    </w:p>
    <w:p w:rsidR="00074C7C" w:rsidRDefault="004A20AF">
      <w:pPr>
        <w:ind w:left="-15"/>
      </w:pPr>
      <w:r>
        <w:t>Раньше работодатели сами прописывали в трудовом договоре основания для увольнения</w:t>
      </w:r>
      <w:r>
        <w:t xml:space="preserve"> (ст. 312.5 ТК РФ). Из-за этого </w:t>
      </w:r>
      <w:proofErr w:type="spellStart"/>
      <w:r>
        <w:t>дистанционщиков</w:t>
      </w:r>
      <w:proofErr w:type="spellEnd"/>
      <w:r>
        <w:t xml:space="preserve"> могли уволить почти по любой причине. Теперь формулировку, давшую такую возможность, из ТК РФ удалили. </w:t>
      </w:r>
    </w:p>
    <w:p w:rsidR="00074C7C" w:rsidRDefault="004A20AF">
      <w:pPr>
        <w:ind w:left="-15"/>
      </w:pPr>
      <w:r>
        <w:t xml:space="preserve">Если работнику сообщили о прекращении трудового договора в форме электронного приказа или распоряжения, </w:t>
      </w:r>
      <w:r>
        <w:t xml:space="preserve">то ему должны передать надлежаще оформленную бумажную копию. На отправку заказного письма есть три рабочих дня со дня </w:t>
      </w:r>
      <w:proofErr w:type="gramStart"/>
      <w:r>
        <w:t>издания  документа</w:t>
      </w:r>
      <w:proofErr w:type="gramEnd"/>
      <w:r>
        <w:t xml:space="preserve">. </w:t>
      </w:r>
    </w:p>
    <w:p w:rsidR="00074C7C" w:rsidRDefault="004A20AF">
      <w:pPr>
        <w:spacing w:after="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pStyle w:val="1"/>
        <w:ind w:left="-15"/>
      </w:pPr>
      <w:r>
        <w:t xml:space="preserve">С 1 января работникам, трудоустроенным впервые, не нужно оформлять трудовые книжки </w:t>
      </w:r>
    </w:p>
    <w:p w:rsidR="00074C7C" w:rsidRDefault="004A20AF">
      <w:pPr>
        <w:spacing w:after="18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ind w:left="711" w:firstLine="0"/>
      </w:pPr>
      <w:r>
        <w:t>Федеральный закон от 16.12.20</w:t>
      </w:r>
      <w:r>
        <w:t xml:space="preserve">19 №439-ФЗ </w:t>
      </w:r>
    </w:p>
    <w:p w:rsidR="00074C7C" w:rsidRDefault="004A20AF">
      <w:pPr>
        <w:ind w:left="-15"/>
      </w:pPr>
      <w:r>
        <w:lastRenderedPageBreak/>
        <w:t xml:space="preserve">На таких работников сразу формируются электронные трудовые книжки в ПФР на основании отчетных данных, подаваемых работодателем. </w:t>
      </w:r>
    </w:p>
    <w:p w:rsidR="00074C7C" w:rsidRDefault="004A20AF">
      <w:pPr>
        <w:spacing w:after="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pStyle w:val="1"/>
        <w:ind w:left="-15"/>
      </w:pPr>
      <w:r>
        <w:t xml:space="preserve">С 1 января обновлено положение об особенностях режима рабочего времени водителей </w:t>
      </w:r>
    </w:p>
    <w:p w:rsidR="00074C7C" w:rsidRDefault="004A20AF">
      <w:pPr>
        <w:spacing w:after="2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ind w:left="711" w:right="1906" w:firstLine="0"/>
      </w:pPr>
      <w:r>
        <w:t>Приказ Минтранса России от 16</w:t>
      </w:r>
      <w:r>
        <w:t xml:space="preserve">.10.2020 №424 Отметим следующие изменения: </w:t>
      </w:r>
    </w:p>
    <w:p w:rsidR="00074C7C" w:rsidRDefault="004A20AF">
      <w:pPr>
        <w:numPr>
          <w:ilvl w:val="0"/>
          <w:numId w:val="2"/>
        </w:numPr>
      </w:pPr>
      <w:r>
        <w:t xml:space="preserve">возможность разделить рабочий день или смену на несколько частей </w:t>
      </w:r>
      <w:hyperlink r:id="rId5">
        <w:r>
          <w:t>предусмотрена</w:t>
        </w:r>
      </w:hyperlink>
      <w:hyperlink r:id="rId6">
        <w:r>
          <w:t xml:space="preserve"> </w:t>
        </w:r>
      </w:hyperlink>
      <w:r>
        <w:t xml:space="preserve">для всех водителей; </w:t>
      </w:r>
    </w:p>
    <w:p w:rsidR="00074C7C" w:rsidRDefault="004A20AF">
      <w:pPr>
        <w:numPr>
          <w:ilvl w:val="0"/>
          <w:numId w:val="2"/>
        </w:numPr>
      </w:pPr>
      <w:r>
        <w:t xml:space="preserve">водитель </w:t>
      </w:r>
      <w:hyperlink r:id="rId7">
        <w:r>
          <w:t>вправе увеличить</w:t>
        </w:r>
      </w:hyperlink>
      <w:hyperlink r:id="rId8">
        <w:r>
          <w:t xml:space="preserve"> </w:t>
        </w:r>
      </w:hyperlink>
      <w:r>
        <w:t>предельное время непрерывного управления автомобилем в течение суток на 2 часа для завершения перевозки или следования к мес</w:t>
      </w:r>
      <w:r>
        <w:t xml:space="preserve">ту стоянки; </w:t>
      </w:r>
    </w:p>
    <w:p w:rsidR="00074C7C" w:rsidRDefault="004A20AF">
      <w:pPr>
        <w:numPr>
          <w:ilvl w:val="0"/>
          <w:numId w:val="2"/>
        </w:numPr>
      </w:pPr>
      <w:r>
        <w:t xml:space="preserve">с этой же целью водитель </w:t>
      </w:r>
      <w:hyperlink r:id="rId9">
        <w:r>
          <w:t>вправе увеличить</w:t>
        </w:r>
      </w:hyperlink>
      <w:hyperlink r:id="rId10">
        <w:r>
          <w:t xml:space="preserve"> </w:t>
        </w:r>
      </w:hyperlink>
      <w:r>
        <w:t xml:space="preserve">на 1 час предельное время непрерывного управления автомобилем до очередного специального перерыва. Есть и </w:t>
      </w:r>
      <w:hyperlink r:id="rId11">
        <w:r>
          <w:t>другие из</w:t>
        </w:r>
        <w:r>
          <w:t>менения</w:t>
        </w:r>
      </w:hyperlink>
      <w:hyperlink r:id="rId12">
        <w:r>
          <w:t xml:space="preserve"> </w:t>
        </w:r>
      </w:hyperlink>
      <w:r>
        <w:t xml:space="preserve">в правилах о специальных перерывах; </w:t>
      </w:r>
    </w:p>
    <w:p w:rsidR="00074C7C" w:rsidRDefault="004A20AF">
      <w:pPr>
        <w:numPr>
          <w:ilvl w:val="0"/>
          <w:numId w:val="2"/>
        </w:numPr>
      </w:pPr>
      <w:r>
        <w:t xml:space="preserve">конкретизированы </w:t>
      </w:r>
      <w:hyperlink r:id="rId13">
        <w:r>
          <w:t>правила</w:t>
        </w:r>
      </w:hyperlink>
      <w:hyperlink r:id="rId14">
        <w:r>
          <w:t xml:space="preserve"> </w:t>
        </w:r>
      </w:hyperlink>
      <w:r>
        <w:t>о ежедневном отдыхе во</w:t>
      </w:r>
      <w:r>
        <w:t xml:space="preserve">дителей при суммированном учете рабочем времени. </w:t>
      </w:r>
    </w:p>
    <w:p w:rsidR="00074C7C" w:rsidRDefault="004A20AF">
      <w:pPr>
        <w:spacing w:after="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pStyle w:val="1"/>
        <w:ind w:left="-15"/>
      </w:pPr>
      <w:r>
        <w:t xml:space="preserve">С 1 января не нужно направлять ежемесячные сведения о среднесписочной численности работников </w:t>
      </w:r>
    </w:p>
    <w:p w:rsidR="00074C7C" w:rsidRDefault="004A20AF">
      <w:pPr>
        <w:spacing w:after="21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ind w:left="711" w:firstLine="0"/>
      </w:pPr>
      <w:r>
        <w:t xml:space="preserve">Федеральный закон от 28.01.2020 №5-ФЗ </w:t>
      </w:r>
    </w:p>
    <w:p w:rsidR="00074C7C" w:rsidRDefault="004A20AF">
      <w:pPr>
        <w:ind w:left="-15"/>
      </w:pPr>
      <w:r>
        <w:t>С 2021 года такие сведения подаются в составе расчета по страховым вз</w:t>
      </w:r>
      <w:r>
        <w:t xml:space="preserve">носам. </w:t>
      </w:r>
    </w:p>
    <w:p w:rsidR="00074C7C" w:rsidRDefault="004A20AF">
      <w:pPr>
        <w:spacing w:after="23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pStyle w:val="1"/>
        <w:ind w:left="711" w:firstLine="0"/>
      </w:pPr>
      <w:r>
        <w:t xml:space="preserve">Продление ограничений из-за COVID-19 до 2022 года </w:t>
      </w:r>
    </w:p>
    <w:p w:rsidR="00074C7C" w:rsidRDefault="004A20AF">
      <w:pPr>
        <w:spacing w:after="0" w:line="259" w:lineRule="auto"/>
        <w:ind w:left="711" w:firstLine="0"/>
        <w:jc w:val="left"/>
      </w:pPr>
      <w:r>
        <w:t xml:space="preserve"> </w:t>
      </w:r>
    </w:p>
    <w:p w:rsidR="00074C7C" w:rsidRDefault="004A20AF">
      <w:pPr>
        <w:ind w:left="-15"/>
      </w:pPr>
      <w:hyperlink r:id="rId15">
        <w:r>
          <w:t xml:space="preserve">Постановление Главного государственного санитарного врача РФ </w:t>
        </w:r>
      </w:hyperlink>
      <w:hyperlink r:id="rId16">
        <w:r>
          <w:t>от</w:t>
        </w:r>
      </w:hyperlink>
      <w:hyperlink r:id="rId17">
        <w:r>
          <w:t xml:space="preserve"> </w:t>
        </w:r>
      </w:hyperlink>
      <w:hyperlink r:id="rId18">
        <w:r>
          <w:t>13.11.2020 №35</w:t>
        </w:r>
      </w:hyperlink>
      <w:hyperlink r:id="rId19">
        <w:r>
          <w:t xml:space="preserve"> </w:t>
        </w:r>
      </w:hyperlink>
      <w:r>
        <w:t>продлило период действия санитарно-эпидемиологических правил (</w:t>
      </w:r>
      <w:hyperlink r:id="rId20" w:anchor="h4">
        <w:r>
          <w:t>СП 3.1.3597</w:t>
        </w:r>
      </w:hyperlink>
      <w:hyperlink r:id="rId21" w:anchor="h4">
        <w:r>
          <w:t>-</w:t>
        </w:r>
      </w:hyperlink>
      <w:hyperlink r:id="rId22" w:anchor="h4">
        <w:r>
          <w:t>20</w:t>
        </w:r>
      </w:hyperlink>
      <w:hyperlink r:id="rId23" w:anchor="h4">
        <w:r>
          <w:t>)</w:t>
        </w:r>
      </w:hyperlink>
      <w:r>
        <w:t xml:space="preserve"> по профилактике </w:t>
      </w:r>
      <w:proofErr w:type="spellStart"/>
      <w:r>
        <w:t>коронавируса</w:t>
      </w:r>
      <w:proofErr w:type="spellEnd"/>
      <w:r>
        <w:t xml:space="preserve"> до 1 января 2022 года. Это значит, </w:t>
      </w:r>
      <w:proofErr w:type="gramStart"/>
      <w:r>
        <w:t>что  государственные</w:t>
      </w:r>
      <w:proofErr w:type="gramEnd"/>
      <w:r>
        <w:t xml:space="preserve"> и муниципальные учреждения должны обеспечить организационные, профилактические и </w:t>
      </w:r>
      <w:proofErr w:type="spellStart"/>
      <w:r>
        <w:t>санитарно</w:t>
      </w:r>
      <w:r>
        <w:t>противоэпидемические</w:t>
      </w:r>
      <w:proofErr w:type="spellEnd"/>
      <w:r>
        <w:t xml:space="preserve"> мероприятия, чтобы предупредить возникновение и распространение случаев заболевания </w:t>
      </w:r>
      <w:proofErr w:type="spellStart"/>
      <w:r>
        <w:t>коронавирусом</w:t>
      </w:r>
      <w:proofErr w:type="spellEnd"/>
      <w:r>
        <w:t xml:space="preserve">. </w:t>
      </w:r>
    </w:p>
    <w:p w:rsidR="00074C7C" w:rsidRDefault="004A20AF">
      <w:pPr>
        <w:ind w:left="-15"/>
      </w:pPr>
      <w:r>
        <w:t xml:space="preserve">Требования отличаются в зависимости от сферы деятельности, но есть и обязанности, которые распространяются на всех:  </w:t>
      </w:r>
    </w:p>
    <w:p w:rsidR="00074C7C" w:rsidRDefault="004A20AF">
      <w:pPr>
        <w:numPr>
          <w:ilvl w:val="0"/>
          <w:numId w:val="3"/>
        </w:numPr>
      </w:pPr>
      <w:r>
        <w:t>дезинфекция рабоч</w:t>
      </w:r>
      <w:r>
        <w:t xml:space="preserve">их помещений,  </w:t>
      </w:r>
    </w:p>
    <w:p w:rsidR="00074C7C" w:rsidRDefault="004A20AF">
      <w:pPr>
        <w:numPr>
          <w:ilvl w:val="0"/>
          <w:numId w:val="3"/>
        </w:numPr>
      </w:pPr>
      <w:r>
        <w:t xml:space="preserve">выявление работников и посетителей с признаками инфекционных заболеваний путем измерения температуры тела,  </w:t>
      </w:r>
    </w:p>
    <w:p w:rsidR="00074C7C" w:rsidRDefault="004A20AF">
      <w:pPr>
        <w:numPr>
          <w:ilvl w:val="0"/>
          <w:numId w:val="3"/>
        </w:numPr>
      </w:pPr>
      <w:r>
        <w:t xml:space="preserve">обеспечение работников дезинфицирующими средствами и СИЗ и др. </w:t>
      </w:r>
    </w:p>
    <w:p w:rsidR="00074C7C" w:rsidRDefault="00074C7C" w:rsidP="004A20AF">
      <w:pPr>
        <w:spacing w:after="0" w:line="259" w:lineRule="auto"/>
        <w:ind w:left="711" w:firstLine="0"/>
        <w:jc w:val="left"/>
      </w:pPr>
      <w:bookmarkStart w:id="0" w:name="_GoBack"/>
      <w:bookmarkEnd w:id="0"/>
    </w:p>
    <w:sectPr w:rsidR="00074C7C">
      <w:pgSz w:w="11905" w:h="16840"/>
      <w:pgMar w:top="631" w:right="840" w:bottom="49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D0289"/>
    <w:multiLevelType w:val="hybridMultilevel"/>
    <w:tmpl w:val="D81A1198"/>
    <w:lvl w:ilvl="0" w:tplc="3D3EC210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28D81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454B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26F4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EE5F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32659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D097E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1444C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E7BA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BC1EBE"/>
    <w:multiLevelType w:val="hybridMultilevel"/>
    <w:tmpl w:val="0E6C8CFE"/>
    <w:lvl w:ilvl="0" w:tplc="8782230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68B3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1055C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A72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7E636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D2C0A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E663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ECC5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10F9F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37300C"/>
    <w:multiLevelType w:val="hybridMultilevel"/>
    <w:tmpl w:val="CE46F86E"/>
    <w:lvl w:ilvl="0" w:tplc="213656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D091B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664A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967A4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61A5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80B4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C8901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C45F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4D66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7C"/>
    <w:rsid w:val="00074C7C"/>
    <w:rsid w:val="004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51F4B-B64E-4C3E-B329-4F3D0C45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 w:line="270" w:lineRule="auto"/>
      <w:ind w:left="271" w:firstLine="70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70425&amp;date=12.04.2021&amp;dst=100037&amp;fld=134" TargetMode="External"/><Relationship Id="rId13" Type="http://schemas.openxmlformats.org/officeDocument/2006/relationships/hyperlink" Target="https://login.consultant.ru/link/?req=doc&amp;base=RZR&amp;n=370425&amp;date=12.04.2021&amp;dst=100060&amp;fld=134" TargetMode="External"/><Relationship Id="rId18" Type="http://schemas.openxmlformats.org/officeDocument/2006/relationships/hyperlink" Target="https://normativ.kontur.ru/document?moduleId=1&amp;documentId=375654&amp;p=1210&amp;utm_source=yandex&amp;utm_medium=organic&amp;utm_referer=yandex.ru&amp;utm_startpage=kontur.ru%2Farticles%2F4819&amp;utm_orderpage=kontur.ru%2Farticles%2F48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9&amp;documentId=375840&amp;p=1210&amp;utm_source=yandex&amp;utm_medium=organic&amp;utm_referer=yandex.ru&amp;utm_startpage=kontur.ru%2Farticles%2F4819&amp;utm_orderpage=kontur.ru%2Farticles%2F4819" TargetMode="External"/><Relationship Id="rId7" Type="http://schemas.openxmlformats.org/officeDocument/2006/relationships/hyperlink" Target="https://login.consultant.ru/link/?req=doc&amp;base=RZR&amp;n=370425&amp;date=12.04.2021&amp;dst=100037&amp;fld=134" TargetMode="External"/><Relationship Id="rId12" Type="http://schemas.openxmlformats.org/officeDocument/2006/relationships/hyperlink" Target="https://login.consultant.ru/link/?req=doc&amp;base=RZR&amp;n=370425&amp;date=12.04.2021&amp;dst=100040&amp;fld=134" TargetMode="External"/><Relationship Id="rId17" Type="http://schemas.openxmlformats.org/officeDocument/2006/relationships/hyperlink" Target="https://normativ.kontur.ru/document?moduleId=1&amp;documentId=375654&amp;p=1210&amp;utm_source=yandex&amp;utm_medium=organic&amp;utm_referer=yandex.ru&amp;utm_startpage=kontur.ru%2Farticles%2F4819&amp;utm_orderpage=kontur.ru%2Farticles%2F481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375654&amp;p=1210&amp;utm_source=yandex&amp;utm_medium=organic&amp;utm_referer=yandex.ru&amp;utm_startpage=kontur.ru%2Farticles%2F4819&amp;utm_orderpage=kontur.ru%2Farticles%2F4819" TargetMode="External"/><Relationship Id="rId20" Type="http://schemas.openxmlformats.org/officeDocument/2006/relationships/hyperlink" Target="https://normativ.kontur.ru/document?moduleId=9&amp;documentId=375840&amp;p=1210&amp;utm_source=yandex&amp;utm_medium=organic&amp;utm_referer=yandex.ru&amp;utm_startpage=kontur.ru%2Farticles%2F4819&amp;utm_orderpage=kontur.ru%2Farticles%2F48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70425&amp;date=12.04.2021&amp;dst=100022&amp;fld=134" TargetMode="External"/><Relationship Id="rId11" Type="http://schemas.openxmlformats.org/officeDocument/2006/relationships/hyperlink" Target="https://login.consultant.ru/link/?req=doc&amp;base=RZR&amp;n=370425&amp;date=12.04.2021&amp;dst=100040&amp;fld=13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70425&amp;date=12.04.2021&amp;dst=100022&amp;fld=134" TargetMode="External"/><Relationship Id="rId15" Type="http://schemas.openxmlformats.org/officeDocument/2006/relationships/hyperlink" Target="https://normativ.kontur.ru/document?moduleId=1&amp;documentId=375654&amp;p=1210&amp;utm_source=yandex&amp;utm_medium=organic&amp;utm_referer=yandex.ru&amp;utm_startpage=kontur.ru%2Farticles%2F4819&amp;utm_orderpage=kontur.ru%2Farticles%2F4819" TargetMode="External"/><Relationship Id="rId23" Type="http://schemas.openxmlformats.org/officeDocument/2006/relationships/hyperlink" Target="https://normativ.kontur.ru/document?moduleId=9&amp;documentId=375840&amp;p=1210&amp;utm_source=yandex&amp;utm_medium=organic&amp;utm_referer=yandex.ru&amp;utm_startpage=kontur.ru%2Farticles%2F4819&amp;utm_orderpage=kontur.ru%2Farticles%2F4819" TargetMode="External"/><Relationship Id="rId10" Type="http://schemas.openxmlformats.org/officeDocument/2006/relationships/hyperlink" Target="https://login.consultant.ru/link/?req=doc&amp;base=RZR&amp;n=370425&amp;date=12.04.2021&amp;dst=100042&amp;fld=134" TargetMode="External"/><Relationship Id="rId19" Type="http://schemas.openxmlformats.org/officeDocument/2006/relationships/hyperlink" Target="https://normativ.kontur.ru/document?moduleId=1&amp;documentId=375654&amp;p=1210&amp;utm_source=yandex&amp;utm_medium=organic&amp;utm_referer=yandex.ru&amp;utm_startpage=kontur.ru%2Farticles%2F4819&amp;utm_orderpage=kontur.ru%2Farticles%2F4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70425&amp;date=12.04.2021&amp;dst=100042&amp;fld=134" TargetMode="External"/><Relationship Id="rId14" Type="http://schemas.openxmlformats.org/officeDocument/2006/relationships/hyperlink" Target="https://login.consultant.ru/link/?req=doc&amp;base=RZR&amp;n=370425&amp;date=12.04.2021&amp;dst=100060&amp;fld=134" TargetMode="External"/><Relationship Id="rId22" Type="http://schemas.openxmlformats.org/officeDocument/2006/relationships/hyperlink" Target="https://normativ.kontur.ru/document?moduleId=9&amp;documentId=375840&amp;p=1210&amp;utm_source=yandex&amp;utm_medium=organic&amp;utm_referer=yandex.ru&amp;utm_startpage=kontur.ru%2Farticles%2F4819&amp;utm_orderpage=kontur.ru%2Farticles%2F4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7776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krasheninnikov</dc:creator>
  <cp:keywords/>
  <cp:lastModifiedBy>home</cp:lastModifiedBy>
  <cp:revision>3</cp:revision>
  <dcterms:created xsi:type="dcterms:W3CDTF">2021-04-26T05:32:00Z</dcterms:created>
  <dcterms:modified xsi:type="dcterms:W3CDTF">2021-04-26T05:32:00Z</dcterms:modified>
</cp:coreProperties>
</file>