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8" w:rsidRDefault="00CC2328" w:rsidP="00CC232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24</w:t>
      </w:r>
      <w:bookmarkStart w:id="0" w:name="_GoBack"/>
      <w:bookmarkEnd w:id="0"/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 xml:space="preserve">Согласовано:                                                      </w:t>
      </w:r>
      <w:r w:rsidR="008A50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3E4279">
        <w:rPr>
          <w:rFonts w:ascii="Times New Roman" w:hAnsi="Times New Roman"/>
          <w:color w:val="000000"/>
          <w:sz w:val="24"/>
          <w:szCs w:val="24"/>
        </w:rPr>
        <w:t xml:space="preserve">  Утверждаю:</w:t>
      </w: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 xml:space="preserve">Председатель                                                     </w:t>
      </w:r>
      <w:r w:rsidR="008A50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3E4279">
        <w:rPr>
          <w:rFonts w:ascii="Times New Roman" w:hAnsi="Times New Roman"/>
          <w:color w:val="000000"/>
          <w:sz w:val="24"/>
          <w:szCs w:val="24"/>
        </w:rPr>
        <w:t>Заведующий</w:t>
      </w:r>
      <w:r>
        <w:rPr>
          <w:rFonts w:ascii="Times New Roman" w:hAnsi="Times New Roman"/>
          <w:color w:val="000000"/>
          <w:sz w:val="24"/>
          <w:szCs w:val="24"/>
        </w:rPr>
        <w:t xml:space="preserve"> МАДОУ</w:t>
      </w:r>
    </w:p>
    <w:p w:rsidR="00484AD6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 xml:space="preserve">Управляющего совета                                        </w:t>
      </w:r>
      <w:r w:rsidR="008A50AA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</w:rPr>
        <w:t>«Детский сад «Успех</w:t>
      </w:r>
      <w:r w:rsidRPr="003E4279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Кабанск</w:t>
      </w:r>
      <w:proofErr w:type="spellEnd"/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Казанцева О.В.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A50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__________Фролова Т.В.</w:t>
      </w: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«___»_________201</w:t>
      </w:r>
      <w:r w:rsidR="008941AD">
        <w:rPr>
          <w:rFonts w:ascii="Times New Roman" w:hAnsi="Times New Roman"/>
          <w:color w:val="000000"/>
          <w:sz w:val="24"/>
          <w:szCs w:val="24"/>
        </w:rPr>
        <w:t xml:space="preserve">__ </w:t>
      </w:r>
      <w:r w:rsidRPr="003E4279">
        <w:rPr>
          <w:rFonts w:ascii="Times New Roman" w:hAnsi="Times New Roman"/>
          <w:color w:val="000000"/>
          <w:sz w:val="24"/>
          <w:szCs w:val="24"/>
        </w:rPr>
        <w:t xml:space="preserve">г                                            </w:t>
      </w:r>
      <w:r w:rsidR="008A50AA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3E4279">
        <w:rPr>
          <w:rFonts w:ascii="Times New Roman" w:hAnsi="Times New Roman"/>
          <w:color w:val="000000"/>
          <w:sz w:val="24"/>
          <w:szCs w:val="24"/>
        </w:rPr>
        <w:t>«___»_________201</w:t>
      </w:r>
      <w:r w:rsidR="008941AD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Pr="003E4279">
        <w:rPr>
          <w:rFonts w:ascii="Times New Roman" w:hAnsi="Times New Roman"/>
          <w:color w:val="000000"/>
          <w:sz w:val="24"/>
          <w:szCs w:val="24"/>
        </w:rPr>
        <w:t>г</w:t>
      </w: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484AD6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Предсе</w:t>
      </w:r>
      <w:r>
        <w:rPr>
          <w:rFonts w:ascii="Times New Roman" w:hAnsi="Times New Roman"/>
          <w:color w:val="000000"/>
          <w:sz w:val="24"/>
          <w:szCs w:val="24"/>
        </w:rPr>
        <w:t xml:space="preserve">датель ПК МАДОУ </w:t>
      </w: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«Детский сад «Успех</w:t>
      </w:r>
      <w:r w:rsidRPr="003E4279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Кабанск</w:t>
      </w:r>
      <w:proofErr w:type="spellEnd"/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Котова О.Д.</w:t>
      </w:r>
    </w:p>
    <w:p w:rsidR="00484AD6" w:rsidRPr="003E4279" w:rsidRDefault="00484AD6" w:rsidP="00B046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279">
        <w:rPr>
          <w:rFonts w:ascii="Times New Roman" w:hAnsi="Times New Roman"/>
          <w:color w:val="000000"/>
          <w:sz w:val="24"/>
          <w:szCs w:val="24"/>
        </w:rPr>
        <w:t>«___»___________201</w:t>
      </w:r>
      <w:r w:rsidR="008941AD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279">
        <w:rPr>
          <w:rFonts w:ascii="Times New Roman" w:hAnsi="Times New Roman"/>
          <w:color w:val="000000"/>
          <w:sz w:val="24"/>
          <w:szCs w:val="24"/>
        </w:rPr>
        <w:t>г</w:t>
      </w:r>
    </w:p>
    <w:p w:rsidR="00484AD6" w:rsidRPr="003E4279" w:rsidRDefault="00484AD6" w:rsidP="00202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4AD6" w:rsidRPr="008941AD" w:rsidRDefault="008941AD" w:rsidP="008941A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41AD"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8941AD" w:rsidRPr="008941AD" w:rsidRDefault="008941AD" w:rsidP="008941A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41AD">
        <w:rPr>
          <w:rFonts w:ascii="Times New Roman" w:hAnsi="Times New Roman"/>
          <w:color w:val="000000"/>
          <w:sz w:val="24"/>
          <w:szCs w:val="24"/>
        </w:rPr>
        <w:t>Педагогическим советом</w:t>
      </w:r>
    </w:p>
    <w:p w:rsidR="008941AD" w:rsidRPr="008941AD" w:rsidRDefault="008941AD" w:rsidP="008941A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941AD">
        <w:rPr>
          <w:rFonts w:ascii="Times New Roman" w:hAnsi="Times New Roman"/>
          <w:color w:val="000000"/>
          <w:sz w:val="24"/>
          <w:szCs w:val="24"/>
        </w:rPr>
        <w:t>Протокол от «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8941AD">
        <w:rPr>
          <w:rFonts w:ascii="Times New Roman" w:hAnsi="Times New Roman"/>
          <w:color w:val="000000"/>
          <w:sz w:val="24"/>
          <w:szCs w:val="24"/>
        </w:rPr>
        <w:t>»_____</w:t>
      </w:r>
      <w:r>
        <w:rPr>
          <w:rFonts w:ascii="Times New Roman" w:hAnsi="Times New Roman"/>
          <w:color w:val="000000"/>
          <w:sz w:val="24"/>
          <w:szCs w:val="24"/>
        </w:rPr>
        <w:t>20___г.</w:t>
      </w:r>
    </w:p>
    <w:p w:rsidR="00484AD6" w:rsidRPr="003E4279" w:rsidRDefault="00484AD6" w:rsidP="00202310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4AD6" w:rsidRPr="003E4279" w:rsidRDefault="00484AD6" w:rsidP="008A5E65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484AD6" w:rsidRPr="003E4279" w:rsidRDefault="00484AD6" w:rsidP="008A5E6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4279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2C2C12" w:rsidRDefault="00484AD6" w:rsidP="009D7BF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4279">
        <w:rPr>
          <w:rFonts w:ascii="Times New Roman" w:hAnsi="Times New Roman"/>
          <w:b/>
          <w:color w:val="000000"/>
          <w:sz w:val="28"/>
          <w:szCs w:val="28"/>
        </w:rPr>
        <w:t xml:space="preserve">О ПОРЯДКЕ </w:t>
      </w:r>
      <w:proofErr w:type="gramStart"/>
      <w:r w:rsidRPr="003E4279">
        <w:rPr>
          <w:rFonts w:ascii="Times New Roman" w:hAnsi="Times New Roman"/>
          <w:b/>
          <w:color w:val="000000"/>
          <w:sz w:val="28"/>
          <w:szCs w:val="28"/>
        </w:rPr>
        <w:t>РАСПРЕДЕЛЕНИЯ СТИМУЛИРУЮЩЕЙ ЧАСТИ ФОНДА ОПЛАТЫ ТРУДА ПЕДА</w:t>
      </w:r>
      <w:r w:rsidR="00421A4E">
        <w:rPr>
          <w:rFonts w:ascii="Times New Roman" w:hAnsi="Times New Roman"/>
          <w:b/>
          <w:color w:val="000000"/>
          <w:sz w:val="28"/>
          <w:szCs w:val="28"/>
        </w:rPr>
        <w:t>ГОГ</w:t>
      </w:r>
      <w:r w:rsidR="008941AD">
        <w:rPr>
          <w:rFonts w:ascii="Times New Roman" w:hAnsi="Times New Roman"/>
          <w:b/>
          <w:color w:val="000000"/>
          <w:sz w:val="28"/>
          <w:szCs w:val="28"/>
        </w:rPr>
        <w:t>ИЧЕСКИХ РАБОТНИКОВ</w:t>
      </w:r>
      <w:proofErr w:type="gramEnd"/>
      <w:r w:rsidR="008941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84AD6" w:rsidRDefault="00421A4E" w:rsidP="009D7B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84AD6" w:rsidRPr="003E4279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484AD6">
        <w:rPr>
          <w:rFonts w:ascii="Times New Roman" w:hAnsi="Times New Roman"/>
          <w:b/>
          <w:bCs/>
          <w:sz w:val="28"/>
          <w:szCs w:val="28"/>
        </w:rPr>
        <w:t xml:space="preserve"> АВТОНОМНОГО ДОШКОЛЬНОГО ОБРАЗОВ</w:t>
      </w:r>
      <w:r w:rsidR="00484AD6" w:rsidRPr="003E4279">
        <w:rPr>
          <w:rFonts w:ascii="Times New Roman" w:hAnsi="Times New Roman"/>
          <w:b/>
          <w:bCs/>
          <w:sz w:val="28"/>
          <w:szCs w:val="28"/>
        </w:rPr>
        <w:t>АТЕЛ</w:t>
      </w:r>
      <w:r w:rsidR="00484AD6">
        <w:rPr>
          <w:rFonts w:ascii="Times New Roman" w:hAnsi="Times New Roman"/>
          <w:b/>
          <w:bCs/>
          <w:sz w:val="28"/>
          <w:szCs w:val="28"/>
        </w:rPr>
        <w:t>ЬНОГО УЧРЕЖДЕНИЯ «ДЕТСКИЙ САД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4AD6">
        <w:rPr>
          <w:rFonts w:ascii="Times New Roman" w:hAnsi="Times New Roman"/>
          <w:b/>
          <w:sz w:val="28"/>
          <w:szCs w:val="28"/>
        </w:rPr>
        <w:t>ОБЩЕРАЗВИВАЮЩЕГО ВИДА С ПРИОРИТЕТНЫМ ОСУЩЕСТВЛЕНИЕМ ОДНОГО ИЛИ НЕСКОЛЬКИХ НАПРАВЛЕНИЙ  РАЗВИТИЯ ВОСПИТАННИКОВ «УСПЕХ» С. КАБАНСК МО «КАБАНСКИЙ РАЙОН» РЕСПУБЛИКИ БУРЯТИЯ</w:t>
      </w:r>
    </w:p>
    <w:p w:rsidR="00484AD6" w:rsidRPr="003E4279" w:rsidRDefault="00484AD6" w:rsidP="009D7BF1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421A4E">
        <w:rPr>
          <w:rFonts w:ascii="Times New Roman" w:hAnsi="Times New Roman"/>
          <w:b/>
          <w:sz w:val="28"/>
          <w:szCs w:val="28"/>
        </w:rPr>
        <w:t>МАДОУ «</w:t>
      </w:r>
      <w:r>
        <w:rPr>
          <w:rFonts w:ascii="Times New Roman" w:hAnsi="Times New Roman"/>
          <w:b/>
          <w:sz w:val="28"/>
          <w:szCs w:val="28"/>
        </w:rPr>
        <w:t>ДЕТСКИЙ САД «УСПЕХ» С.КАБАНСК)</w:t>
      </w:r>
    </w:p>
    <w:p w:rsidR="00484AD6" w:rsidRPr="003E4279" w:rsidRDefault="00484AD6" w:rsidP="00202310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4AD6" w:rsidRPr="003E4279" w:rsidRDefault="00484AD6" w:rsidP="00202310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4AD6" w:rsidRPr="003E4279" w:rsidRDefault="00484AD6" w:rsidP="00202310"/>
    <w:p w:rsidR="00484AD6" w:rsidRPr="003E4279" w:rsidRDefault="00484AD6" w:rsidP="00106E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810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D6" w:rsidRPr="008F0A18" w:rsidRDefault="00484AD6" w:rsidP="00A70727">
      <w:pPr>
        <w:pStyle w:val="a3"/>
        <w:numPr>
          <w:ilvl w:val="0"/>
          <w:numId w:val="1"/>
        </w:numPr>
        <w:ind w:left="284" w:hanging="734"/>
        <w:jc w:val="center"/>
        <w:rPr>
          <w:rFonts w:ascii="Times New Roman" w:hAnsi="Times New Roman"/>
          <w:b/>
          <w:sz w:val="28"/>
          <w:szCs w:val="28"/>
        </w:rPr>
      </w:pPr>
      <w:r w:rsidRPr="003E427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84AD6" w:rsidRDefault="00484AD6" w:rsidP="009D7BF1">
      <w:pPr>
        <w:pStyle w:val="ac"/>
        <w:numPr>
          <w:ilvl w:val="1"/>
          <w:numId w:val="6"/>
        </w:num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spacing w:line="276" w:lineRule="auto"/>
        <w:ind w:left="-426" w:right="-425" w:firstLine="426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 xml:space="preserve">Настоящее Положение о порядке распределения стимулирующей части </w:t>
      </w:r>
    </w:p>
    <w:p w:rsidR="002C2C12" w:rsidRPr="002C2C12" w:rsidRDefault="00484AD6" w:rsidP="002C2C12">
      <w:pPr>
        <w:pStyle w:val="ac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ind w:right="-425"/>
        <w:contextualSpacing/>
        <w:jc w:val="both"/>
        <w:rPr>
          <w:sz w:val="28"/>
          <w:szCs w:val="28"/>
        </w:rPr>
      </w:pPr>
      <w:proofErr w:type="gramStart"/>
      <w:r w:rsidRPr="003E4279">
        <w:rPr>
          <w:sz w:val="28"/>
          <w:szCs w:val="28"/>
        </w:rPr>
        <w:t>фонда оплаты труда (далее – Положение) разработано в соответствии с Трудовым Кодексом Российской Федерации, Законом Республики Бурятия от 13 декабря 2013 года №240-V "Об обр</w:t>
      </w:r>
      <w:r>
        <w:rPr>
          <w:sz w:val="28"/>
          <w:szCs w:val="28"/>
        </w:rPr>
        <w:t>азовании в Республики Бурятия",</w:t>
      </w:r>
      <w:r w:rsidR="00B771C5">
        <w:rPr>
          <w:sz w:val="28"/>
          <w:szCs w:val="28"/>
        </w:rPr>
        <w:t xml:space="preserve"> </w:t>
      </w:r>
      <w:r w:rsidRPr="009D7BF1">
        <w:rPr>
          <w:sz w:val="28"/>
          <w:szCs w:val="28"/>
        </w:rPr>
        <w:t>Постановлением Администрации МО «</w:t>
      </w:r>
      <w:proofErr w:type="spellStart"/>
      <w:r w:rsidRPr="009D7BF1">
        <w:rPr>
          <w:sz w:val="28"/>
          <w:szCs w:val="28"/>
        </w:rPr>
        <w:t>Кабанский</w:t>
      </w:r>
      <w:proofErr w:type="spellEnd"/>
      <w:r w:rsidRPr="009D7BF1">
        <w:rPr>
          <w:sz w:val="28"/>
          <w:szCs w:val="28"/>
        </w:rPr>
        <w:t xml:space="preserve"> район» от 30.11.2016 г. № 1880 «Об утверждении Положения об отраслевой системе оплаты труда работников муниципальных учреждений образования, подведомственных МКУ «РУО» </w:t>
      </w:r>
      <w:proofErr w:type="spellStart"/>
      <w:r w:rsidRPr="009D7BF1">
        <w:rPr>
          <w:sz w:val="28"/>
          <w:szCs w:val="28"/>
        </w:rPr>
        <w:t>Кабанского</w:t>
      </w:r>
      <w:proofErr w:type="spellEnd"/>
      <w:r w:rsidRPr="009D7BF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РБ, Постановлением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№ 1021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10.10.2016 г. «О внесении изменений в постановление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от 30.11.2015 г. № 1880 «Об утверждении Положения об отраслевой системе оплаты труда работников муниципальных учреждений образования подведомственных МКУ «РУО» </w:t>
      </w:r>
      <w:proofErr w:type="spellStart"/>
      <w:r>
        <w:rPr>
          <w:sz w:val="28"/>
          <w:szCs w:val="28"/>
        </w:rPr>
        <w:t>Кабанс</w:t>
      </w:r>
      <w:r w:rsidR="002C2C12">
        <w:rPr>
          <w:sz w:val="28"/>
          <w:szCs w:val="28"/>
        </w:rPr>
        <w:t>кого</w:t>
      </w:r>
      <w:proofErr w:type="spellEnd"/>
      <w:r w:rsidR="002C2C12">
        <w:rPr>
          <w:sz w:val="28"/>
          <w:szCs w:val="28"/>
        </w:rPr>
        <w:t xml:space="preserve"> района Республики Бурятия», </w:t>
      </w:r>
      <w:r w:rsidR="002C2C12" w:rsidRPr="002C2C12">
        <w:rPr>
          <w:sz w:val="28"/>
          <w:szCs w:val="28"/>
        </w:rPr>
        <w:t>Постановлением Администрации МО «</w:t>
      </w:r>
      <w:proofErr w:type="spellStart"/>
      <w:r w:rsidR="002C2C12" w:rsidRPr="002C2C12">
        <w:rPr>
          <w:sz w:val="28"/>
          <w:szCs w:val="28"/>
        </w:rPr>
        <w:t>Кабанский</w:t>
      </w:r>
      <w:proofErr w:type="spellEnd"/>
      <w:r w:rsidR="002C2C12" w:rsidRPr="002C2C12">
        <w:rPr>
          <w:sz w:val="28"/>
          <w:szCs w:val="28"/>
        </w:rPr>
        <w:t xml:space="preserve"> район» от 11.07.2018 года № 964 «О внесение изменений в Положение об отраслевой системе оплаты труда работников муниципальных учреждений образования, подведомственных МКУ</w:t>
      </w:r>
      <w:proofErr w:type="gramEnd"/>
      <w:r w:rsidR="002C2C12" w:rsidRPr="002C2C12">
        <w:rPr>
          <w:sz w:val="28"/>
          <w:szCs w:val="28"/>
        </w:rPr>
        <w:t xml:space="preserve"> «РУО» </w:t>
      </w:r>
      <w:proofErr w:type="spellStart"/>
      <w:r w:rsidR="002C2C12" w:rsidRPr="002C2C12">
        <w:rPr>
          <w:sz w:val="28"/>
          <w:szCs w:val="28"/>
        </w:rPr>
        <w:t>Кабанского</w:t>
      </w:r>
      <w:proofErr w:type="spellEnd"/>
      <w:r w:rsidR="002C2C12" w:rsidRPr="002C2C12">
        <w:rPr>
          <w:sz w:val="28"/>
          <w:szCs w:val="28"/>
        </w:rPr>
        <w:t xml:space="preserve"> района Республики Бурятия, утвержденное постановлением Администрации МО «</w:t>
      </w:r>
      <w:proofErr w:type="spellStart"/>
      <w:r w:rsidR="002C2C12" w:rsidRPr="002C2C12">
        <w:rPr>
          <w:sz w:val="28"/>
          <w:szCs w:val="28"/>
        </w:rPr>
        <w:t>Кабанский</w:t>
      </w:r>
      <w:proofErr w:type="spellEnd"/>
      <w:r w:rsidR="002C2C12" w:rsidRPr="002C2C12">
        <w:rPr>
          <w:sz w:val="28"/>
          <w:szCs w:val="28"/>
        </w:rPr>
        <w:t xml:space="preserve"> район» от 30.11.2015 года № 1880».</w:t>
      </w:r>
    </w:p>
    <w:p w:rsidR="00484AD6" w:rsidRPr="009D7BF1" w:rsidRDefault="00484AD6" w:rsidP="00A70727">
      <w:pPr>
        <w:pStyle w:val="ac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spacing w:line="276" w:lineRule="auto"/>
        <w:ind w:right="-425"/>
        <w:contextualSpacing/>
        <w:jc w:val="both"/>
        <w:rPr>
          <w:sz w:val="28"/>
          <w:szCs w:val="28"/>
        </w:rPr>
      </w:pPr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E4279">
        <w:rPr>
          <w:sz w:val="28"/>
          <w:szCs w:val="28"/>
        </w:rPr>
        <w:t>Стимулирующая часть фонда опл</w:t>
      </w:r>
      <w:r>
        <w:rPr>
          <w:sz w:val="28"/>
          <w:szCs w:val="28"/>
        </w:rPr>
        <w:t xml:space="preserve">аты труда может направляться </w:t>
      </w:r>
      <w:proofErr w:type="gramStart"/>
      <w:r>
        <w:rPr>
          <w:sz w:val="28"/>
          <w:szCs w:val="28"/>
        </w:rPr>
        <w:t>на</w:t>
      </w:r>
      <w:proofErr w:type="gramEnd"/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>стимулирующие выпл</w:t>
      </w:r>
      <w:r w:rsidR="00B771C5">
        <w:rPr>
          <w:sz w:val="28"/>
          <w:szCs w:val="28"/>
        </w:rPr>
        <w:t xml:space="preserve">аты по результатам </w:t>
      </w:r>
      <w:r w:rsidR="00B771C5" w:rsidRPr="00B771C5">
        <w:rPr>
          <w:sz w:val="28"/>
          <w:szCs w:val="28"/>
        </w:rPr>
        <w:t>деятельности педагогических работников</w:t>
      </w:r>
      <w:r w:rsidR="002C2C12">
        <w:rPr>
          <w:sz w:val="28"/>
          <w:szCs w:val="28"/>
        </w:rPr>
        <w:t xml:space="preserve"> </w:t>
      </w:r>
      <w:r w:rsidRPr="003E4279">
        <w:rPr>
          <w:sz w:val="28"/>
          <w:szCs w:val="28"/>
        </w:rPr>
        <w:t xml:space="preserve"> по установленным показателям</w:t>
      </w:r>
      <w:r>
        <w:rPr>
          <w:sz w:val="28"/>
          <w:szCs w:val="28"/>
        </w:rPr>
        <w:t xml:space="preserve"> при достижении показателя средней заработной платы педагогического персонала, установленной на текущий год</w:t>
      </w:r>
      <w:r w:rsidR="00190235">
        <w:rPr>
          <w:sz w:val="28"/>
          <w:szCs w:val="28"/>
        </w:rPr>
        <w:t>, пропорционально количеству отработанных рабочих дней.</w:t>
      </w:r>
      <w:r w:rsidRPr="003E4279">
        <w:rPr>
          <w:sz w:val="28"/>
          <w:szCs w:val="28"/>
        </w:rPr>
        <w:t xml:space="preserve"> </w:t>
      </w:r>
    </w:p>
    <w:p w:rsidR="00484AD6" w:rsidRPr="003E4279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E4279">
        <w:rPr>
          <w:sz w:val="28"/>
          <w:szCs w:val="28"/>
        </w:rPr>
        <w:t>Размеры и условия осуществления выплат стимулирующего характера работникам определяются учреждением самостоятельно в пределах выделенных бюджетных ассигнований, согласно росписи бюджета, доведенной Учредителем. Объем стимулирующей части  может быть увеличен за счет экономии фонда оплаты труда, в том числе при оптимизации штатного расписания, а также при поступлениях целевого характера на увеличение фонда оплаты труда.</w:t>
      </w:r>
    </w:p>
    <w:p w:rsidR="00484AD6" w:rsidRDefault="00484AD6" w:rsidP="00A70727">
      <w:pPr>
        <w:pStyle w:val="ac"/>
        <w:widowControl w:val="0"/>
        <w:numPr>
          <w:ilvl w:val="1"/>
          <w:numId w:val="4"/>
        </w:numPr>
        <w:tabs>
          <w:tab w:val="left" w:pos="0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left="-426" w:right="-425" w:firstLine="426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 xml:space="preserve">Стимулирующие выплаты устанавливаются за высокое качество и </w:t>
      </w:r>
    </w:p>
    <w:p w:rsidR="00484AD6" w:rsidRPr="003E4279" w:rsidRDefault="00484AD6" w:rsidP="00A70727">
      <w:pPr>
        <w:pStyle w:val="ac"/>
        <w:widowControl w:val="0"/>
        <w:tabs>
          <w:tab w:val="left" w:pos="0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>результативность труда. При этом учитывается выполнение инновационных проектов, реализация приоритетных направлений в образовательной деятельности Учреждения.</w:t>
      </w:r>
    </w:p>
    <w:p w:rsidR="00484AD6" w:rsidRDefault="00484AD6" w:rsidP="0003509F">
      <w:pPr>
        <w:pStyle w:val="ac"/>
        <w:widowControl w:val="0"/>
        <w:numPr>
          <w:ilvl w:val="1"/>
          <w:numId w:val="4"/>
        </w:numPr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left="-426" w:right="-425" w:firstLine="426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 xml:space="preserve">Условия и порядок распределения стимулирующих выплат, критерии и </w:t>
      </w:r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 w:rsidRPr="003E4279">
        <w:rPr>
          <w:sz w:val="28"/>
          <w:szCs w:val="28"/>
        </w:rPr>
        <w:t>показатели оценки качества и результативности работы по пед</w:t>
      </w:r>
      <w:r w:rsidR="00B43A47">
        <w:rPr>
          <w:sz w:val="28"/>
          <w:szCs w:val="28"/>
        </w:rPr>
        <w:t>аго</w:t>
      </w:r>
      <w:r w:rsidR="002C2C12">
        <w:rPr>
          <w:sz w:val="28"/>
          <w:szCs w:val="28"/>
        </w:rPr>
        <w:t>гическим работникам</w:t>
      </w:r>
      <w:r>
        <w:rPr>
          <w:sz w:val="28"/>
          <w:szCs w:val="28"/>
        </w:rPr>
        <w:t xml:space="preserve"> </w:t>
      </w:r>
      <w:r w:rsidRPr="003E4279">
        <w:rPr>
          <w:sz w:val="28"/>
          <w:szCs w:val="28"/>
        </w:rPr>
        <w:t>рассматриваются на коллективном собрании и закрепляются в Положении о распределении стимулирующей части заработной платы. Положение утверждает руководитель учреждения, согласуют председатель Управляющег</w:t>
      </w:r>
      <w:r w:rsidR="00B43A47">
        <w:rPr>
          <w:sz w:val="28"/>
          <w:szCs w:val="28"/>
        </w:rPr>
        <w:t xml:space="preserve">о Совета МАДОУ и председатель первичной организации профсоюза </w:t>
      </w:r>
      <w:r w:rsidRPr="003E4279">
        <w:rPr>
          <w:sz w:val="28"/>
          <w:szCs w:val="28"/>
        </w:rPr>
        <w:t xml:space="preserve"> МАДОУ.</w:t>
      </w:r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Pr="003E4279">
        <w:rPr>
          <w:sz w:val="28"/>
          <w:szCs w:val="28"/>
        </w:rPr>
        <w:t>Учреждение вправе самостоятельно вносить</w:t>
      </w:r>
      <w:r>
        <w:rPr>
          <w:sz w:val="28"/>
          <w:szCs w:val="28"/>
        </w:rPr>
        <w:t xml:space="preserve"> изменения в Положение на общем </w:t>
      </w:r>
      <w:r w:rsidRPr="003E4279">
        <w:rPr>
          <w:sz w:val="28"/>
          <w:szCs w:val="28"/>
        </w:rPr>
        <w:t>собрании коллектива.</w:t>
      </w:r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 </w:t>
      </w:r>
      <w:r w:rsidRPr="003E4279">
        <w:rPr>
          <w:sz w:val="28"/>
          <w:szCs w:val="28"/>
        </w:rPr>
        <w:t xml:space="preserve">Стимулирующие выплаты определяются строго по критериям </w:t>
      </w:r>
      <w:r>
        <w:rPr>
          <w:sz w:val="28"/>
          <w:szCs w:val="28"/>
        </w:rPr>
        <w:t xml:space="preserve">стимулирования </w:t>
      </w:r>
      <w:r w:rsidRPr="003E4279">
        <w:rPr>
          <w:sz w:val="28"/>
          <w:szCs w:val="28"/>
        </w:rPr>
        <w:t xml:space="preserve">данного </w:t>
      </w:r>
      <w:r w:rsidRPr="00B771C5">
        <w:rPr>
          <w:sz w:val="28"/>
          <w:szCs w:val="28"/>
        </w:rPr>
        <w:t>Положения, указанных в оценочном листе</w:t>
      </w:r>
      <w:r w:rsidRPr="003E4279">
        <w:rPr>
          <w:sz w:val="28"/>
          <w:szCs w:val="28"/>
        </w:rPr>
        <w:t xml:space="preserve"> (Приложение №1) на основании отчетов по результатам деятельности работников за месяц.</w:t>
      </w:r>
    </w:p>
    <w:p w:rsidR="00484AD6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A70727">
        <w:rPr>
          <w:sz w:val="28"/>
          <w:szCs w:val="28"/>
        </w:rPr>
        <w:t>Размер стимулирующих выплат выражается в денежном (стоимостном) выражении и максимальными размерами не ограничивается.</w:t>
      </w:r>
    </w:p>
    <w:p w:rsidR="00484AD6" w:rsidRPr="003E4279" w:rsidRDefault="00484AD6" w:rsidP="00A70727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  </w:t>
      </w:r>
      <w:r w:rsidRPr="003E4279">
        <w:rPr>
          <w:sz w:val="28"/>
          <w:szCs w:val="28"/>
        </w:rPr>
        <w:t xml:space="preserve">В целях </w:t>
      </w:r>
      <w:r w:rsidRPr="00B771C5">
        <w:rPr>
          <w:sz w:val="28"/>
          <w:szCs w:val="28"/>
        </w:rPr>
        <w:t xml:space="preserve">исполнения </w:t>
      </w:r>
      <w:r w:rsidR="00B771C5" w:rsidRPr="00B771C5">
        <w:rPr>
          <w:sz w:val="28"/>
          <w:szCs w:val="28"/>
        </w:rPr>
        <w:t xml:space="preserve"> Постановления </w:t>
      </w:r>
      <w:r w:rsidRPr="00B771C5">
        <w:rPr>
          <w:sz w:val="28"/>
          <w:szCs w:val="28"/>
        </w:rPr>
        <w:t xml:space="preserve">№ 408-ФЗ от 01.12.2014г. «О внесении изменения в статью 1 ФЗ «О минимальном </w:t>
      </w:r>
      <w:proofErr w:type="gramStart"/>
      <w:r w:rsidRPr="00B771C5">
        <w:rPr>
          <w:sz w:val="28"/>
          <w:szCs w:val="28"/>
        </w:rPr>
        <w:t>размере</w:t>
      </w:r>
      <w:r w:rsidRPr="003E4279">
        <w:rPr>
          <w:sz w:val="28"/>
          <w:szCs w:val="28"/>
        </w:rPr>
        <w:t xml:space="preserve"> оплаты труда</w:t>
      </w:r>
      <w:proofErr w:type="gramEnd"/>
      <w:r w:rsidRPr="003E4279">
        <w:rPr>
          <w:sz w:val="28"/>
          <w:szCs w:val="28"/>
        </w:rPr>
        <w:t>» каждому работнику заработная плата начисляется не ниже минимального размера оплаты труда (МРОТ) с учетом базовой и стимулирующей части</w:t>
      </w:r>
      <w:r>
        <w:rPr>
          <w:sz w:val="28"/>
          <w:szCs w:val="28"/>
        </w:rPr>
        <w:t xml:space="preserve"> </w:t>
      </w:r>
      <w:r w:rsidRPr="003E4279">
        <w:rPr>
          <w:sz w:val="28"/>
          <w:szCs w:val="28"/>
        </w:rPr>
        <w:t>пропорционально отработанному времени.</w:t>
      </w:r>
    </w:p>
    <w:p w:rsidR="00484AD6" w:rsidRPr="00A70727" w:rsidRDefault="00484AD6" w:rsidP="00A70727">
      <w:pPr>
        <w:pStyle w:val="a3"/>
        <w:widowControl w:val="0"/>
        <w:autoSpaceDE w:val="0"/>
        <w:autoSpaceDN w:val="0"/>
        <w:adjustRightInd w:val="0"/>
        <w:ind w:right="-425"/>
        <w:jc w:val="both"/>
        <w:rPr>
          <w:rFonts w:ascii="Times New Roman" w:hAnsi="Times New Roman"/>
          <w:sz w:val="28"/>
          <w:szCs w:val="28"/>
        </w:rPr>
      </w:pPr>
    </w:p>
    <w:p w:rsidR="00484AD6" w:rsidRPr="003E4279" w:rsidRDefault="00484AD6" w:rsidP="00A70727">
      <w:pPr>
        <w:pStyle w:val="a3"/>
        <w:numPr>
          <w:ilvl w:val="0"/>
          <w:numId w:val="3"/>
        </w:numPr>
        <w:ind w:right="-425"/>
        <w:jc w:val="both"/>
        <w:rPr>
          <w:rFonts w:ascii="Times New Roman" w:hAnsi="Times New Roman"/>
          <w:b/>
          <w:sz w:val="28"/>
          <w:szCs w:val="28"/>
        </w:rPr>
      </w:pPr>
      <w:r w:rsidRPr="003E4279">
        <w:rPr>
          <w:rFonts w:ascii="Times New Roman" w:hAnsi="Times New Roman"/>
          <w:b/>
          <w:sz w:val="28"/>
          <w:szCs w:val="28"/>
        </w:rPr>
        <w:t>Сост</w:t>
      </w:r>
      <w:r>
        <w:rPr>
          <w:rFonts w:ascii="Times New Roman" w:hAnsi="Times New Roman"/>
          <w:b/>
          <w:sz w:val="28"/>
          <w:szCs w:val="28"/>
        </w:rPr>
        <w:t>ав и порядок работы экспертной  комиссии</w:t>
      </w:r>
      <w:r w:rsidRPr="003E4279">
        <w:rPr>
          <w:rFonts w:ascii="Times New Roman" w:hAnsi="Times New Roman"/>
          <w:b/>
          <w:sz w:val="28"/>
          <w:szCs w:val="28"/>
        </w:rPr>
        <w:t xml:space="preserve"> учреждения.</w:t>
      </w:r>
    </w:p>
    <w:p w:rsidR="00484AD6" w:rsidRPr="003E4279" w:rsidRDefault="00484AD6" w:rsidP="0003509F">
      <w:pPr>
        <w:pStyle w:val="a3"/>
        <w:ind w:left="0" w:right="-425"/>
        <w:jc w:val="both"/>
        <w:rPr>
          <w:rFonts w:ascii="Times New Roman" w:hAnsi="Times New Roman"/>
          <w:b/>
          <w:sz w:val="28"/>
          <w:szCs w:val="28"/>
        </w:rPr>
      </w:pPr>
    </w:p>
    <w:p w:rsidR="00484AD6" w:rsidRPr="003E4279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 xml:space="preserve">Стимулирующие выплаты по результатам труда распределяются </w:t>
      </w:r>
      <w:r>
        <w:rPr>
          <w:rFonts w:ascii="Times New Roman" w:hAnsi="Times New Roman"/>
          <w:sz w:val="28"/>
          <w:szCs w:val="28"/>
        </w:rPr>
        <w:t>и утверждаются экспертной комиссией, обеспечивающей</w:t>
      </w:r>
      <w:r w:rsidRPr="003E4279">
        <w:rPr>
          <w:rFonts w:ascii="Times New Roman" w:hAnsi="Times New Roman"/>
          <w:sz w:val="28"/>
          <w:szCs w:val="28"/>
        </w:rPr>
        <w:t xml:space="preserve"> демократический, государственно-общественный характер управления, с учетом мнения профсоюзного органа.</w:t>
      </w:r>
    </w:p>
    <w:p w:rsidR="00484AD6" w:rsidRPr="008C1123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>Состав и поря</w:t>
      </w:r>
      <w:r>
        <w:rPr>
          <w:rFonts w:ascii="Times New Roman" w:hAnsi="Times New Roman"/>
          <w:sz w:val="28"/>
          <w:szCs w:val="28"/>
        </w:rPr>
        <w:t>док работы экспертной комиссии</w:t>
      </w:r>
      <w:r w:rsidRPr="003E4279">
        <w:rPr>
          <w:rFonts w:ascii="Times New Roman" w:hAnsi="Times New Roman"/>
          <w:sz w:val="28"/>
          <w:szCs w:val="28"/>
        </w:rPr>
        <w:t xml:space="preserve"> учреждения по распределению стимулирующих выплат устанавливается приказом по учреждению на основании решения коллектива сроком на 2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279">
        <w:rPr>
          <w:rFonts w:ascii="Times New Roman" w:hAnsi="Times New Roman"/>
          <w:sz w:val="28"/>
          <w:szCs w:val="28"/>
        </w:rPr>
        <w:t xml:space="preserve">В </w:t>
      </w:r>
      <w:r w:rsidRPr="003E4279">
        <w:rPr>
          <w:rFonts w:ascii="Times New Roman" w:hAnsi="Times New Roman"/>
          <w:color w:val="000000"/>
          <w:sz w:val="28"/>
          <w:szCs w:val="28"/>
        </w:rPr>
        <w:t>состав комиссии могут входить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педагогические работники</w:t>
      </w:r>
      <w:r w:rsidRPr="003E427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члены р</w:t>
      </w:r>
      <w:r w:rsidRPr="003E4279">
        <w:rPr>
          <w:rFonts w:ascii="Times New Roman" w:hAnsi="Times New Roman"/>
          <w:color w:val="000000"/>
          <w:sz w:val="28"/>
          <w:szCs w:val="28"/>
        </w:rPr>
        <w:t xml:space="preserve">одительского комитета и представители профсоюзного </w:t>
      </w:r>
      <w:r w:rsidR="00B771C5">
        <w:rPr>
          <w:rFonts w:ascii="Times New Roman" w:hAnsi="Times New Roman"/>
          <w:color w:val="000000"/>
          <w:sz w:val="28"/>
          <w:szCs w:val="28"/>
        </w:rPr>
        <w:t>органа.</w:t>
      </w:r>
    </w:p>
    <w:p w:rsidR="00484AD6" w:rsidRPr="003E4279" w:rsidRDefault="00484AD6" w:rsidP="0003509F">
      <w:pPr>
        <w:pStyle w:val="a3"/>
        <w:numPr>
          <w:ilvl w:val="1"/>
          <w:numId w:val="3"/>
        </w:numPr>
        <w:spacing w:before="120" w:after="0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Функциональные обязанности и регламент работы членов комиссии.</w:t>
      </w:r>
    </w:p>
    <w:p w:rsidR="00484AD6" w:rsidRPr="003E4279" w:rsidRDefault="00484AD6" w:rsidP="0003509F">
      <w:pPr>
        <w:spacing w:before="120" w:after="0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Председатель комиссии по учреждению:</w:t>
      </w:r>
    </w:p>
    <w:p w:rsidR="00484AD6" w:rsidRPr="003E4279" w:rsidRDefault="00484AD6" w:rsidP="0003509F">
      <w:pPr>
        <w:pStyle w:val="a3"/>
        <w:spacing w:before="120" w:after="0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 назначает дату проведения заседания;</w:t>
      </w: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 распределяет обязанности между членами комиссии;</w:t>
      </w:r>
    </w:p>
    <w:p w:rsidR="00484AD6" w:rsidRPr="003E4279" w:rsidRDefault="00484AD6" w:rsidP="0003509F">
      <w:pPr>
        <w:pStyle w:val="a3"/>
        <w:spacing w:before="120" w:after="0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 контролирует работу членов комиссии.</w:t>
      </w:r>
    </w:p>
    <w:p w:rsidR="00484AD6" w:rsidRPr="003E4279" w:rsidRDefault="00484AD6" w:rsidP="0003509F">
      <w:pPr>
        <w:pStyle w:val="a3"/>
        <w:spacing w:before="120" w:after="0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Члены комиссии по учреждению:</w:t>
      </w: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 рассматривают материалы по самоанализу деятельности работников;</w:t>
      </w: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-принимают решения о соответствии деятельности работника требованиям к установлению размера стимулирующей выплаты;</w:t>
      </w: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 обеспечивают объективность и прозрачность принимаемых решений;</w:t>
      </w:r>
    </w:p>
    <w:p w:rsidR="00484AD6" w:rsidRPr="003E4279" w:rsidRDefault="00484AD6" w:rsidP="0003509F">
      <w:pPr>
        <w:pStyle w:val="a3"/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-осуществляют анализ и оценку результатов мониторинга профессиональной деятельности работников только в части соблюдения установленных критериев.</w:t>
      </w:r>
    </w:p>
    <w:p w:rsidR="00484AD6" w:rsidRPr="003E4279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экспертной комиссии</w:t>
      </w:r>
      <w:r w:rsidRPr="003E4279">
        <w:rPr>
          <w:rFonts w:ascii="Times New Roman" w:hAnsi="Times New Roman"/>
          <w:sz w:val="28"/>
          <w:szCs w:val="28"/>
        </w:rPr>
        <w:t xml:space="preserve"> по распределению стимулирующих выплат комиссия проверяет достоверность заполнения отчетов о результативности деятельности. </w:t>
      </w:r>
    </w:p>
    <w:p w:rsidR="00484AD6" w:rsidRPr="003E4279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>Отчеты педагогического персонала комиссия сверяет с составленными педагогами портфолио за отчетный месяц. Отчет о резул</w:t>
      </w:r>
      <w:r w:rsidR="00B43A47">
        <w:rPr>
          <w:rFonts w:ascii="Times New Roman" w:hAnsi="Times New Roman"/>
          <w:sz w:val="28"/>
          <w:szCs w:val="28"/>
        </w:rPr>
        <w:t>ьтативности деятельности помощников</w:t>
      </w:r>
      <w:r w:rsidRPr="003E4279">
        <w:rPr>
          <w:rFonts w:ascii="Times New Roman" w:hAnsi="Times New Roman"/>
          <w:sz w:val="28"/>
          <w:szCs w:val="28"/>
        </w:rPr>
        <w:t xml:space="preserve"> воспитателей включает дополнительно проведенную работу, не входящую в должностные инструкции младших воспитателей. </w:t>
      </w:r>
    </w:p>
    <w:p w:rsidR="00484AD6" w:rsidRPr="003E4279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>Комиссия выносит окончательное решение о проведенной работе за месяц каждого работника. Соответствующие балл</w:t>
      </w:r>
      <w:r>
        <w:rPr>
          <w:rFonts w:ascii="Times New Roman" w:hAnsi="Times New Roman"/>
          <w:sz w:val="28"/>
          <w:szCs w:val="28"/>
        </w:rPr>
        <w:t>ы по решению экспертной комиссии</w:t>
      </w:r>
      <w:r w:rsidRPr="003E4279">
        <w:rPr>
          <w:rFonts w:ascii="Times New Roman" w:hAnsi="Times New Roman"/>
          <w:sz w:val="28"/>
          <w:szCs w:val="28"/>
        </w:rPr>
        <w:t xml:space="preserve"> комиссия выставляет в отдел</w:t>
      </w:r>
      <w:r>
        <w:rPr>
          <w:rFonts w:ascii="Times New Roman" w:hAnsi="Times New Roman"/>
          <w:sz w:val="28"/>
          <w:szCs w:val="28"/>
        </w:rPr>
        <w:t xml:space="preserve">ьной графе  «Баллы по решению </w:t>
      </w:r>
      <w:proofErr w:type="gramStart"/>
      <w:r>
        <w:rPr>
          <w:rFonts w:ascii="Times New Roman" w:hAnsi="Times New Roman"/>
          <w:sz w:val="28"/>
          <w:szCs w:val="28"/>
        </w:rPr>
        <w:t>ЭК</w:t>
      </w:r>
      <w:proofErr w:type="gramEnd"/>
      <w:r w:rsidRPr="003E4279">
        <w:rPr>
          <w:rFonts w:ascii="Times New Roman" w:hAnsi="Times New Roman"/>
          <w:sz w:val="28"/>
          <w:szCs w:val="28"/>
        </w:rPr>
        <w:t>» отчета о результативности деятельности и если баллы по самооценке завышены или занижены, комиссия дает обоснование в графе «Примечание».</w:t>
      </w:r>
    </w:p>
    <w:p w:rsidR="00484AD6" w:rsidRPr="003E4279" w:rsidRDefault="00484AD6" w:rsidP="0003509F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>Установление стимулирующих выплат, не связанных с результативностью труда, не допускаются.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279">
        <w:rPr>
          <w:rFonts w:ascii="Times New Roman" w:hAnsi="Times New Roman"/>
          <w:sz w:val="28"/>
          <w:szCs w:val="28"/>
        </w:rPr>
        <w:t>Работникам, не предоставившим отчеты о результативности деятельности до конца отчетного месяца, стимулирующие выплаты не назначаются и не производятся.</w:t>
      </w:r>
    </w:p>
    <w:p w:rsidR="00484AD6" w:rsidRDefault="00484AD6" w:rsidP="0003509F">
      <w:pPr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</w:t>
      </w:r>
      <w:r w:rsidRPr="003E4279">
        <w:rPr>
          <w:rFonts w:ascii="Times New Roman" w:hAnsi="Times New Roman"/>
          <w:color w:val="000000"/>
          <w:sz w:val="28"/>
          <w:szCs w:val="28"/>
        </w:rPr>
        <w:t>. На основании всех собранных материалов,</w:t>
      </w:r>
      <w:r>
        <w:rPr>
          <w:rFonts w:ascii="Times New Roman" w:hAnsi="Times New Roman"/>
          <w:color w:val="000000"/>
          <w:sz w:val="28"/>
          <w:szCs w:val="28"/>
        </w:rPr>
        <w:t xml:space="preserve"> экспертная </w:t>
      </w:r>
      <w:r w:rsidRPr="003E4279">
        <w:rPr>
          <w:rFonts w:ascii="Times New Roman" w:hAnsi="Times New Roman"/>
          <w:color w:val="000000"/>
          <w:sz w:val="28"/>
          <w:szCs w:val="28"/>
        </w:rPr>
        <w:t>комиссия подсчитывает количество баллов каждого работника</w:t>
      </w:r>
      <w:r w:rsidR="00190235">
        <w:rPr>
          <w:rFonts w:ascii="Times New Roman" w:hAnsi="Times New Roman"/>
          <w:color w:val="000000"/>
          <w:sz w:val="28"/>
          <w:szCs w:val="28"/>
        </w:rPr>
        <w:t>, учитывая количество фактически отработанных дней по табелю.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511E">
        <w:rPr>
          <w:rFonts w:ascii="Times New Roman" w:hAnsi="Times New Roman"/>
          <w:color w:val="000000"/>
          <w:sz w:val="28"/>
          <w:szCs w:val="28"/>
        </w:rPr>
        <w:t>Комиссия оформляет протокол, который подписывается председателем и членами комиссии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84AD6" w:rsidRPr="003E4279" w:rsidRDefault="00484AD6" w:rsidP="0003509F">
      <w:pPr>
        <w:ind w:left="-426" w:right="-425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E427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3E4279">
        <w:rPr>
          <w:rFonts w:ascii="Times New Roman" w:hAnsi="Times New Roman"/>
          <w:color w:val="000000"/>
          <w:sz w:val="28"/>
          <w:szCs w:val="28"/>
        </w:rPr>
        <w:t>.    Итоговое решение о размерах стимулирующих выплат о</w:t>
      </w:r>
      <w:r>
        <w:rPr>
          <w:rFonts w:ascii="Times New Roman" w:hAnsi="Times New Roman"/>
          <w:color w:val="000000"/>
          <w:sz w:val="28"/>
          <w:szCs w:val="28"/>
        </w:rPr>
        <w:t>формляется приказом заведующего, направляется бухгалтеру для определения стоимости балла и суммы стимулирующих выплат каждому работнику.</w:t>
      </w:r>
    </w:p>
    <w:p w:rsidR="00484AD6" w:rsidRPr="0004511E" w:rsidRDefault="00484AD6" w:rsidP="0004511E">
      <w:pPr>
        <w:pStyle w:val="a3"/>
        <w:numPr>
          <w:ilvl w:val="0"/>
          <w:numId w:val="3"/>
        </w:numPr>
        <w:ind w:right="-425"/>
        <w:jc w:val="both"/>
        <w:rPr>
          <w:rFonts w:ascii="Times New Roman" w:hAnsi="Times New Roman"/>
          <w:b/>
          <w:sz w:val="28"/>
          <w:szCs w:val="28"/>
        </w:rPr>
      </w:pPr>
      <w:r w:rsidRPr="0004511E">
        <w:rPr>
          <w:rFonts w:ascii="Times New Roman" w:hAnsi="Times New Roman"/>
          <w:b/>
          <w:sz w:val="28"/>
          <w:szCs w:val="28"/>
        </w:rPr>
        <w:t>Порядок установления стимулирующих выплат работникам.</w:t>
      </w:r>
    </w:p>
    <w:p w:rsidR="00484AD6" w:rsidRPr="003E4279" w:rsidRDefault="00484AD6" w:rsidP="0003509F">
      <w:pPr>
        <w:pStyle w:val="a3"/>
        <w:ind w:left="0" w:right="-425"/>
        <w:jc w:val="both"/>
        <w:rPr>
          <w:rFonts w:ascii="Times New Roman" w:hAnsi="Times New Roman"/>
          <w:b/>
          <w:sz w:val="28"/>
          <w:szCs w:val="28"/>
        </w:rPr>
      </w:pPr>
    </w:p>
    <w:p w:rsidR="00484AD6" w:rsidRPr="00C705E0" w:rsidRDefault="00484AD6" w:rsidP="00C705E0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 xml:space="preserve">Педагогические работники учреждения ежемесячно заполняют отчет о результативности </w:t>
      </w:r>
      <w:r w:rsidRPr="00B771C5">
        <w:rPr>
          <w:rFonts w:ascii="Times New Roman" w:hAnsi="Times New Roman"/>
          <w:sz w:val="28"/>
          <w:szCs w:val="28"/>
        </w:rPr>
        <w:t xml:space="preserve">деятельности </w:t>
      </w:r>
      <w:r w:rsidR="00B771C5">
        <w:rPr>
          <w:rFonts w:ascii="Times New Roman" w:hAnsi="Times New Roman"/>
          <w:sz w:val="28"/>
          <w:szCs w:val="28"/>
        </w:rPr>
        <w:t>(Приложение № 1</w:t>
      </w:r>
      <w:r w:rsidRPr="00B771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и сдают председателю экспертной комиссии. Председатель представляет отчет экспертной комиссии </w:t>
      </w:r>
      <w:r w:rsidRPr="003E4279">
        <w:rPr>
          <w:rFonts w:ascii="Times New Roman" w:hAnsi="Times New Roman"/>
          <w:sz w:val="28"/>
          <w:szCs w:val="28"/>
        </w:rPr>
        <w:t xml:space="preserve">по распределению </w:t>
      </w:r>
      <w:r w:rsidR="00C705E0">
        <w:rPr>
          <w:rFonts w:ascii="Times New Roman" w:hAnsi="Times New Roman"/>
          <w:sz w:val="28"/>
          <w:szCs w:val="28"/>
        </w:rPr>
        <w:t>стимулирующих выплат учреждения</w:t>
      </w:r>
    </w:p>
    <w:p w:rsidR="00484AD6" w:rsidRPr="003E4279" w:rsidRDefault="00484AD6" w:rsidP="0004511E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экспертной комиссии </w:t>
      </w:r>
      <w:r w:rsidRPr="003E4279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лены </w:t>
      </w:r>
      <w:r w:rsidRPr="003E4279">
        <w:rPr>
          <w:rFonts w:ascii="Times New Roman" w:hAnsi="Times New Roman"/>
          <w:sz w:val="28"/>
          <w:szCs w:val="28"/>
        </w:rPr>
        <w:t xml:space="preserve"> сравнивают результаты самооценки с обоснованием выполненной работы  с установленными критериями данного Положения. Комиссия составляет протокол, куда вносятся баллы по каждому работнику, стоимость одного балла и сумма стимулирующих выплат.</w:t>
      </w:r>
    </w:p>
    <w:p w:rsidR="00484AD6" w:rsidRPr="00E604A3" w:rsidRDefault="00484AD6" w:rsidP="00E604A3">
      <w:pPr>
        <w:pStyle w:val="a3"/>
        <w:numPr>
          <w:ilvl w:val="1"/>
          <w:numId w:val="3"/>
        </w:numPr>
        <w:ind w:left="-426" w:right="-425" w:firstLine="426"/>
        <w:jc w:val="both"/>
        <w:rPr>
          <w:rFonts w:ascii="Times New Roman" w:hAnsi="Times New Roman"/>
          <w:sz w:val="28"/>
          <w:szCs w:val="28"/>
        </w:rPr>
      </w:pPr>
      <w:r w:rsidRPr="003E4279">
        <w:rPr>
          <w:rFonts w:ascii="Times New Roman" w:hAnsi="Times New Roman"/>
          <w:sz w:val="28"/>
          <w:szCs w:val="28"/>
        </w:rPr>
        <w:t>Стимулирующая часть фонда заработной платы ра</w:t>
      </w:r>
      <w:r>
        <w:rPr>
          <w:rFonts w:ascii="Times New Roman" w:hAnsi="Times New Roman"/>
          <w:sz w:val="28"/>
          <w:szCs w:val="28"/>
        </w:rPr>
        <w:t>спределяется следующим образом:</w:t>
      </w:r>
      <w:r w:rsidRPr="00E604A3">
        <w:rPr>
          <w:rFonts w:ascii="Times New Roman" w:hAnsi="Times New Roman"/>
          <w:sz w:val="28"/>
          <w:szCs w:val="28"/>
        </w:rPr>
        <w:t>- 100 % педагог</w:t>
      </w:r>
      <w:r w:rsidR="00E604A3" w:rsidRPr="00E604A3">
        <w:rPr>
          <w:rFonts w:ascii="Times New Roman" w:hAnsi="Times New Roman"/>
          <w:sz w:val="28"/>
          <w:szCs w:val="28"/>
        </w:rPr>
        <w:t>ическим работникам – ежемесячно.</w:t>
      </w:r>
    </w:p>
    <w:p w:rsidR="00484AD6" w:rsidRPr="003D24A1" w:rsidRDefault="00C705E0" w:rsidP="003D24A1">
      <w:pPr>
        <w:spacing w:after="0"/>
        <w:ind w:right="-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484AD6">
        <w:rPr>
          <w:rFonts w:ascii="Times New Roman" w:hAnsi="Times New Roman"/>
          <w:sz w:val="28"/>
          <w:szCs w:val="28"/>
        </w:rPr>
        <w:t>.</w:t>
      </w:r>
      <w:r w:rsidR="00484AD6" w:rsidRPr="003D24A1">
        <w:rPr>
          <w:rFonts w:ascii="Times New Roman" w:hAnsi="Times New Roman"/>
          <w:sz w:val="28"/>
          <w:szCs w:val="28"/>
        </w:rPr>
        <w:t xml:space="preserve">Стоимость одного балла для расчета стимулирующей части заработной платы </w:t>
      </w:r>
    </w:p>
    <w:p w:rsidR="00484AD6" w:rsidRPr="00493543" w:rsidRDefault="00484AD6" w:rsidP="00493543">
      <w:pPr>
        <w:spacing w:after="0"/>
        <w:ind w:right="-425"/>
        <w:jc w:val="both"/>
        <w:rPr>
          <w:rFonts w:ascii="Times New Roman" w:hAnsi="Times New Roman"/>
          <w:sz w:val="28"/>
          <w:szCs w:val="28"/>
        </w:rPr>
      </w:pPr>
      <w:r w:rsidRPr="00493543">
        <w:rPr>
          <w:rFonts w:ascii="Times New Roman" w:hAnsi="Times New Roman"/>
          <w:sz w:val="28"/>
          <w:szCs w:val="28"/>
        </w:rPr>
        <w:t>педагогического персонала определяется путем деления стимулирующей части фонда оплаты труда, направленной на стимулирование педагогов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543">
        <w:rPr>
          <w:rFonts w:ascii="Times New Roman" w:hAnsi="Times New Roman"/>
          <w:sz w:val="28"/>
          <w:szCs w:val="28"/>
        </w:rPr>
        <w:t>по критериям на  общую сумму баллов по оценочным листам педагогов.  Размер стимулирующей части заработной платы работника определяется умножением количества баллов, набранных им за отчетный месяц, на стоимость одного балла. Расчет стимулирующе</w:t>
      </w:r>
      <w:r>
        <w:rPr>
          <w:rFonts w:ascii="Times New Roman" w:hAnsi="Times New Roman"/>
          <w:sz w:val="28"/>
          <w:szCs w:val="28"/>
        </w:rPr>
        <w:t>й части заработной платы помощников</w:t>
      </w:r>
      <w:r w:rsidRPr="00493543">
        <w:rPr>
          <w:rFonts w:ascii="Times New Roman" w:hAnsi="Times New Roman"/>
          <w:sz w:val="28"/>
          <w:szCs w:val="28"/>
        </w:rPr>
        <w:t xml:space="preserve"> воспитателей ведется аналогично.</w:t>
      </w:r>
    </w:p>
    <w:p w:rsidR="00E604A3" w:rsidRDefault="00C705E0" w:rsidP="003D24A1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84AD6">
        <w:rPr>
          <w:sz w:val="28"/>
          <w:szCs w:val="28"/>
        </w:rPr>
        <w:t>.</w:t>
      </w:r>
      <w:r w:rsidR="00484AD6" w:rsidRPr="003D24A1">
        <w:rPr>
          <w:sz w:val="28"/>
          <w:szCs w:val="28"/>
        </w:rPr>
        <w:t>Стимулирующие выплаты</w:t>
      </w:r>
      <w:r w:rsidR="00484AD6">
        <w:rPr>
          <w:sz w:val="28"/>
          <w:szCs w:val="28"/>
        </w:rPr>
        <w:t xml:space="preserve"> </w:t>
      </w:r>
      <w:r w:rsidR="00484AD6" w:rsidRPr="003D24A1">
        <w:rPr>
          <w:sz w:val="28"/>
          <w:szCs w:val="28"/>
        </w:rPr>
        <w:t>распределяются и выплачиваются один раз в месяц педаго</w:t>
      </w:r>
      <w:r w:rsidR="002C2C12">
        <w:rPr>
          <w:sz w:val="28"/>
          <w:szCs w:val="28"/>
        </w:rPr>
        <w:t xml:space="preserve">гическим работникам </w:t>
      </w:r>
      <w:r w:rsidR="00484AD6">
        <w:rPr>
          <w:sz w:val="28"/>
          <w:szCs w:val="28"/>
        </w:rPr>
        <w:t xml:space="preserve"> при достижении показателя средней заработной платы педагогического персонала, установленной на текущий год</w:t>
      </w:r>
      <w:r w:rsidR="00484AD6" w:rsidRPr="003E4279">
        <w:rPr>
          <w:sz w:val="28"/>
          <w:szCs w:val="28"/>
        </w:rPr>
        <w:t>.</w:t>
      </w:r>
    </w:p>
    <w:p w:rsidR="00E604A3" w:rsidRDefault="00E604A3" w:rsidP="00E604A3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right="-425"/>
        <w:contextualSpacing/>
        <w:rPr>
          <w:sz w:val="28"/>
          <w:szCs w:val="28"/>
        </w:rPr>
      </w:pPr>
    </w:p>
    <w:p w:rsidR="000703AB" w:rsidRDefault="00C705E0" w:rsidP="00E604A3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right="-425"/>
        <w:contextualSpacing/>
        <w:rPr>
          <w:sz w:val="28"/>
          <w:szCs w:val="28"/>
        </w:rPr>
      </w:pPr>
      <w:r>
        <w:rPr>
          <w:sz w:val="28"/>
          <w:szCs w:val="28"/>
        </w:rPr>
        <w:t>3.6</w:t>
      </w:r>
      <w:r w:rsidR="00E604A3">
        <w:rPr>
          <w:sz w:val="28"/>
          <w:szCs w:val="28"/>
        </w:rPr>
        <w:t xml:space="preserve">. </w:t>
      </w:r>
      <w:r w:rsidR="00E604A3" w:rsidRPr="00E604A3">
        <w:rPr>
          <w:sz w:val="28"/>
          <w:szCs w:val="28"/>
        </w:rPr>
        <w:t xml:space="preserve">Руководителю, </w:t>
      </w:r>
      <w:r w:rsidR="000703AB">
        <w:rPr>
          <w:sz w:val="28"/>
          <w:szCs w:val="28"/>
        </w:rPr>
        <w:t>осуществляющему работу по внутреннему совмещению и/или по совместительству на педагогических ставках, стимулирующие выплаты не производятся.</w:t>
      </w:r>
    </w:p>
    <w:p w:rsidR="0043784A" w:rsidRDefault="0043784A" w:rsidP="00E604A3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right="-425"/>
        <w:contextualSpacing/>
        <w:rPr>
          <w:sz w:val="28"/>
          <w:szCs w:val="28"/>
        </w:rPr>
      </w:pPr>
    </w:p>
    <w:p w:rsidR="0043784A" w:rsidRDefault="00C705E0" w:rsidP="00E604A3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right="-425"/>
        <w:contextualSpacing/>
        <w:rPr>
          <w:sz w:val="28"/>
          <w:szCs w:val="28"/>
        </w:rPr>
      </w:pPr>
      <w:r>
        <w:rPr>
          <w:sz w:val="28"/>
          <w:szCs w:val="28"/>
        </w:rPr>
        <w:t>3.7</w:t>
      </w:r>
      <w:r w:rsidR="0043784A">
        <w:rPr>
          <w:sz w:val="28"/>
          <w:szCs w:val="28"/>
        </w:rPr>
        <w:t>. Внешним совместителям, осуществляющим работу на  педагогических ставках, стимулирующие выплаты не производятся.</w:t>
      </w:r>
    </w:p>
    <w:p w:rsidR="000703AB" w:rsidRDefault="000703AB" w:rsidP="00E604A3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ind w:right="-425"/>
        <w:contextualSpacing/>
        <w:rPr>
          <w:sz w:val="28"/>
          <w:szCs w:val="28"/>
        </w:rPr>
      </w:pPr>
    </w:p>
    <w:p w:rsidR="00484AD6" w:rsidRPr="00B771C5" w:rsidRDefault="00C705E0" w:rsidP="003D24A1">
      <w:pPr>
        <w:pStyle w:val="ac"/>
        <w:widowControl w:val="0"/>
        <w:tabs>
          <w:tab w:val="left" w:pos="-567"/>
          <w:tab w:val="left" w:pos="709"/>
          <w:tab w:val="left" w:pos="1134"/>
          <w:tab w:val="left" w:pos="2552"/>
          <w:tab w:val="left" w:pos="2835"/>
          <w:tab w:val="left" w:pos="3261"/>
          <w:tab w:val="left" w:pos="4536"/>
        </w:tabs>
        <w:autoSpaceDE w:val="0"/>
        <w:autoSpaceDN w:val="0"/>
        <w:adjustRightInd w:val="0"/>
        <w:spacing w:line="276" w:lineRule="auto"/>
        <w:ind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84AD6">
        <w:rPr>
          <w:sz w:val="28"/>
          <w:szCs w:val="28"/>
        </w:rPr>
        <w:t>.</w:t>
      </w:r>
      <w:r w:rsidR="0043784A">
        <w:rPr>
          <w:sz w:val="28"/>
          <w:szCs w:val="28"/>
        </w:rPr>
        <w:t xml:space="preserve"> </w:t>
      </w:r>
      <w:r w:rsidR="00484AD6">
        <w:rPr>
          <w:sz w:val="28"/>
          <w:szCs w:val="28"/>
        </w:rPr>
        <w:t xml:space="preserve">За счет стимулирующих выплат педагогическому персоналу выплачиваются премии по итогам высоких показателей работы ко </w:t>
      </w:r>
      <w:r w:rsidR="00B771C5">
        <w:rPr>
          <w:sz w:val="28"/>
          <w:szCs w:val="28"/>
        </w:rPr>
        <w:t xml:space="preserve">Дню </w:t>
      </w:r>
      <w:r w:rsidR="00B771C5" w:rsidRPr="00B771C5">
        <w:rPr>
          <w:sz w:val="28"/>
          <w:szCs w:val="28"/>
        </w:rPr>
        <w:t>дошкольного работника</w:t>
      </w:r>
      <w:r w:rsidR="00484AD6" w:rsidRPr="00B771C5">
        <w:rPr>
          <w:sz w:val="28"/>
          <w:szCs w:val="28"/>
        </w:rPr>
        <w:t xml:space="preserve">, к </w:t>
      </w:r>
      <w:r w:rsidR="00B771C5" w:rsidRPr="00B771C5">
        <w:rPr>
          <w:sz w:val="28"/>
          <w:szCs w:val="28"/>
        </w:rPr>
        <w:t>Международному женскому дню, а также по итогам года</w:t>
      </w:r>
      <w:r w:rsidR="00484AD6" w:rsidRPr="00B771C5">
        <w:rPr>
          <w:sz w:val="28"/>
          <w:szCs w:val="28"/>
        </w:rPr>
        <w:t>, к 50-летнему и 55 - летнему юбилеям.</w:t>
      </w:r>
    </w:p>
    <w:p w:rsidR="00484AD6" w:rsidRPr="003D24A1" w:rsidRDefault="00484AD6" w:rsidP="003D24A1">
      <w:pPr>
        <w:ind w:right="-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4AD6" w:rsidRPr="003E4279" w:rsidRDefault="00484AD6" w:rsidP="0003509F">
      <w:pPr>
        <w:pStyle w:val="a3"/>
        <w:ind w:left="567" w:right="-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5540FC">
      <w:pPr>
        <w:tabs>
          <w:tab w:val="left" w:pos="4820"/>
        </w:tabs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84AD6" w:rsidRDefault="00484AD6" w:rsidP="008D48E0">
      <w:pPr>
        <w:tabs>
          <w:tab w:val="left" w:pos="4820"/>
        </w:tabs>
        <w:rPr>
          <w:rFonts w:ascii="Times New Roman" w:hAnsi="Times New Roman"/>
          <w:color w:val="000000"/>
          <w:sz w:val="28"/>
          <w:szCs w:val="28"/>
        </w:rPr>
      </w:pPr>
    </w:p>
    <w:p w:rsidR="00B771C5" w:rsidRDefault="00B771C5" w:rsidP="008D48E0">
      <w:pPr>
        <w:tabs>
          <w:tab w:val="left" w:pos="4820"/>
        </w:tabs>
        <w:rPr>
          <w:rFonts w:ascii="Times New Roman" w:hAnsi="Times New Roman"/>
          <w:color w:val="000000"/>
          <w:sz w:val="28"/>
          <w:szCs w:val="28"/>
        </w:rPr>
      </w:pPr>
    </w:p>
    <w:p w:rsidR="00B771C5" w:rsidRDefault="00B771C5" w:rsidP="008D48E0">
      <w:pPr>
        <w:tabs>
          <w:tab w:val="left" w:pos="4820"/>
        </w:tabs>
        <w:rPr>
          <w:rFonts w:ascii="Times New Roman" w:hAnsi="Times New Roman"/>
          <w:color w:val="000000"/>
          <w:sz w:val="28"/>
          <w:szCs w:val="28"/>
        </w:rPr>
      </w:pPr>
    </w:p>
    <w:p w:rsidR="00B771C5" w:rsidRDefault="00B771C5" w:rsidP="008D48E0">
      <w:pPr>
        <w:tabs>
          <w:tab w:val="left" w:pos="4820"/>
        </w:tabs>
        <w:rPr>
          <w:rFonts w:ascii="Times New Roman" w:hAnsi="Times New Roman"/>
          <w:color w:val="000000"/>
          <w:sz w:val="28"/>
          <w:szCs w:val="28"/>
        </w:rPr>
      </w:pPr>
    </w:p>
    <w:sectPr w:rsidR="00B771C5" w:rsidSect="00CC78C7">
      <w:pgSz w:w="11906" w:h="16838"/>
      <w:pgMar w:top="794" w:right="1134" w:bottom="794" w:left="1134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65" w:rsidRDefault="004D1765" w:rsidP="00B80E75">
      <w:pPr>
        <w:spacing w:after="0" w:line="240" w:lineRule="auto"/>
      </w:pPr>
      <w:r>
        <w:separator/>
      </w:r>
    </w:p>
  </w:endnote>
  <w:endnote w:type="continuationSeparator" w:id="0">
    <w:p w:rsidR="004D1765" w:rsidRDefault="004D1765" w:rsidP="00B8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65" w:rsidRDefault="004D1765" w:rsidP="00B80E75">
      <w:pPr>
        <w:spacing w:after="0" w:line="240" w:lineRule="auto"/>
      </w:pPr>
      <w:r>
        <w:separator/>
      </w:r>
    </w:p>
  </w:footnote>
  <w:footnote w:type="continuationSeparator" w:id="0">
    <w:p w:rsidR="004D1765" w:rsidRDefault="004D1765" w:rsidP="00B8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0747"/>
    <w:multiLevelType w:val="multilevel"/>
    <w:tmpl w:val="C5887F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B5A5949"/>
    <w:multiLevelType w:val="multilevel"/>
    <w:tmpl w:val="FED4A8A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4613ACC"/>
    <w:multiLevelType w:val="multilevel"/>
    <w:tmpl w:val="FAC4B4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5315857"/>
    <w:multiLevelType w:val="multilevel"/>
    <w:tmpl w:val="9FAE6F1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59547DC"/>
    <w:multiLevelType w:val="multilevel"/>
    <w:tmpl w:val="1EA61BC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12431D2"/>
    <w:multiLevelType w:val="multilevel"/>
    <w:tmpl w:val="D8B2CF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67A721F"/>
    <w:multiLevelType w:val="multilevel"/>
    <w:tmpl w:val="A760B7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5A1D4971"/>
    <w:multiLevelType w:val="multilevel"/>
    <w:tmpl w:val="61B4B41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C7A08FC"/>
    <w:multiLevelType w:val="hybridMultilevel"/>
    <w:tmpl w:val="2030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7C4A77"/>
    <w:multiLevelType w:val="hybridMultilevel"/>
    <w:tmpl w:val="BF3E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79113B"/>
    <w:multiLevelType w:val="multilevel"/>
    <w:tmpl w:val="631C82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D7629B4"/>
    <w:multiLevelType w:val="hybridMultilevel"/>
    <w:tmpl w:val="5824DE10"/>
    <w:lvl w:ilvl="0" w:tplc="8FB0B6E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83"/>
    <w:rsid w:val="00014C04"/>
    <w:rsid w:val="00034D64"/>
    <w:rsid w:val="0003509F"/>
    <w:rsid w:val="00043187"/>
    <w:rsid w:val="0004511E"/>
    <w:rsid w:val="0005013F"/>
    <w:rsid w:val="00051C6A"/>
    <w:rsid w:val="000533EB"/>
    <w:rsid w:val="00060110"/>
    <w:rsid w:val="0006544D"/>
    <w:rsid w:val="000703AB"/>
    <w:rsid w:val="00070562"/>
    <w:rsid w:val="000726B2"/>
    <w:rsid w:val="000752B8"/>
    <w:rsid w:val="00091C89"/>
    <w:rsid w:val="000A58E2"/>
    <w:rsid w:val="000B1D42"/>
    <w:rsid w:val="000C3D79"/>
    <w:rsid w:val="000C7067"/>
    <w:rsid w:val="000F3F24"/>
    <w:rsid w:val="00103420"/>
    <w:rsid w:val="001051BF"/>
    <w:rsid w:val="00106E72"/>
    <w:rsid w:val="00107FD2"/>
    <w:rsid w:val="00114243"/>
    <w:rsid w:val="00132816"/>
    <w:rsid w:val="0013486A"/>
    <w:rsid w:val="00145820"/>
    <w:rsid w:val="0015126B"/>
    <w:rsid w:val="00160D5D"/>
    <w:rsid w:val="00172D89"/>
    <w:rsid w:val="00181471"/>
    <w:rsid w:val="001837F1"/>
    <w:rsid w:val="0018474C"/>
    <w:rsid w:val="00186AF6"/>
    <w:rsid w:val="00190235"/>
    <w:rsid w:val="0019352A"/>
    <w:rsid w:val="001A14F7"/>
    <w:rsid w:val="001A1669"/>
    <w:rsid w:val="001A4473"/>
    <w:rsid w:val="001A6E14"/>
    <w:rsid w:val="001E53F6"/>
    <w:rsid w:val="001F26AB"/>
    <w:rsid w:val="001F7B1A"/>
    <w:rsid w:val="00202310"/>
    <w:rsid w:val="00216586"/>
    <w:rsid w:val="00234490"/>
    <w:rsid w:val="00244C06"/>
    <w:rsid w:val="00247885"/>
    <w:rsid w:val="00251FA6"/>
    <w:rsid w:val="00254F7E"/>
    <w:rsid w:val="002659E6"/>
    <w:rsid w:val="00266427"/>
    <w:rsid w:val="002A5C40"/>
    <w:rsid w:val="002A607A"/>
    <w:rsid w:val="002A7057"/>
    <w:rsid w:val="002B4570"/>
    <w:rsid w:val="002B6719"/>
    <w:rsid w:val="002C2C12"/>
    <w:rsid w:val="002D7696"/>
    <w:rsid w:val="002E09FB"/>
    <w:rsid w:val="002F55C6"/>
    <w:rsid w:val="00301C0F"/>
    <w:rsid w:val="00306154"/>
    <w:rsid w:val="00313D8C"/>
    <w:rsid w:val="00322B54"/>
    <w:rsid w:val="00322C05"/>
    <w:rsid w:val="003236D9"/>
    <w:rsid w:val="00330C20"/>
    <w:rsid w:val="00331B77"/>
    <w:rsid w:val="0034035E"/>
    <w:rsid w:val="0035664C"/>
    <w:rsid w:val="00365632"/>
    <w:rsid w:val="0037214A"/>
    <w:rsid w:val="003733A3"/>
    <w:rsid w:val="003752DC"/>
    <w:rsid w:val="0038449A"/>
    <w:rsid w:val="0039122E"/>
    <w:rsid w:val="003932A3"/>
    <w:rsid w:val="00397318"/>
    <w:rsid w:val="003A7062"/>
    <w:rsid w:val="003B1AF5"/>
    <w:rsid w:val="003C2D07"/>
    <w:rsid w:val="003C6B97"/>
    <w:rsid w:val="003D24A1"/>
    <w:rsid w:val="003D268C"/>
    <w:rsid w:val="003D35A1"/>
    <w:rsid w:val="003E4279"/>
    <w:rsid w:val="00406F43"/>
    <w:rsid w:val="0042199D"/>
    <w:rsid w:val="00421A4E"/>
    <w:rsid w:val="00437224"/>
    <w:rsid w:val="0043784A"/>
    <w:rsid w:val="00440F90"/>
    <w:rsid w:val="00445F1F"/>
    <w:rsid w:val="0046190D"/>
    <w:rsid w:val="00467BFF"/>
    <w:rsid w:val="00475FFF"/>
    <w:rsid w:val="00476E61"/>
    <w:rsid w:val="00484AD6"/>
    <w:rsid w:val="00493543"/>
    <w:rsid w:val="004937CE"/>
    <w:rsid w:val="004A1BA9"/>
    <w:rsid w:val="004A551C"/>
    <w:rsid w:val="004B386C"/>
    <w:rsid w:val="004B78C7"/>
    <w:rsid w:val="004C2AD3"/>
    <w:rsid w:val="004D054D"/>
    <w:rsid w:val="004D1765"/>
    <w:rsid w:val="004E69A4"/>
    <w:rsid w:val="004E7DEB"/>
    <w:rsid w:val="00513F3D"/>
    <w:rsid w:val="00521E96"/>
    <w:rsid w:val="00521F13"/>
    <w:rsid w:val="005229E9"/>
    <w:rsid w:val="005249B9"/>
    <w:rsid w:val="005411AC"/>
    <w:rsid w:val="005415B4"/>
    <w:rsid w:val="005434F6"/>
    <w:rsid w:val="00545EF2"/>
    <w:rsid w:val="005540FC"/>
    <w:rsid w:val="005565B6"/>
    <w:rsid w:val="00565D6E"/>
    <w:rsid w:val="0059395E"/>
    <w:rsid w:val="005A5C90"/>
    <w:rsid w:val="005B4DBE"/>
    <w:rsid w:val="005B73C0"/>
    <w:rsid w:val="005C33E2"/>
    <w:rsid w:val="00603EB6"/>
    <w:rsid w:val="00610B4D"/>
    <w:rsid w:val="00617F60"/>
    <w:rsid w:val="0064679B"/>
    <w:rsid w:val="006468EE"/>
    <w:rsid w:val="00656B83"/>
    <w:rsid w:val="0066053C"/>
    <w:rsid w:val="00670F4F"/>
    <w:rsid w:val="006903AF"/>
    <w:rsid w:val="006922A1"/>
    <w:rsid w:val="006923B8"/>
    <w:rsid w:val="006A100E"/>
    <w:rsid w:val="006B0D76"/>
    <w:rsid w:val="006C6E4D"/>
    <w:rsid w:val="00703B33"/>
    <w:rsid w:val="0070646F"/>
    <w:rsid w:val="0072742B"/>
    <w:rsid w:val="00730901"/>
    <w:rsid w:val="00730A4D"/>
    <w:rsid w:val="00731B46"/>
    <w:rsid w:val="0073337B"/>
    <w:rsid w:val="00746705"/>
    <w:rsid w:val="007532B6"/>
    <w:rsid w:val="007546AF"/>
    <w:rsid w:val="00787CF2"/>
    <w:rsid w:val="007924ED"/>
    <w:rsid w:val="007952FD"/>
    <w:rsid w:val="00797710"/>
    <w:rsid w:val="007A08A8"/>
    <w:rsid w:val="007A396F"/>
    <w:rsid w:val="007A721A"/>
    <w:rsid w:val="007C6AB4"/>
    <w:rsid w:val="007D105D"/>
    <w:rsid w:val="007D5B9C"/>
    <w:rsid w:val="007D76F1"/>
    <w:rsid w:val="0081056A"/>
    <w:rsid w:val="00812EE4"/>
    <w:rsid w:val="00826FA0"/>
    <w:rsid w:val="00846B08"/>
    <w:rsid w:val="00854574"/>
    <w:rsid w:val="008556E0"/>
    <w:rsid w:val="00867FBA"/>
    <w:rsid w:val="00871D82"/>
    <w:rsid w:val="00881859"/>
    <w:rsid w:val="00881D0C"/>
    <w:rsid w:val="00893898"/>
    <w:rsid w:val="008941AD"/>
    <w:rsid w:val="008A1C1E"/>
    <w:rsid w:val="008A50AA"/>
    <w:rsid w:val="008A5E65"/>
    <w:rsid w:val="008B3A59"/>
    <w:rsid w:val="008C1123"/>
    <w:rsid w:val="008D48E0"/>
    <w:rsid w:val="008D7B7E"/>
    <w:rsid w:val="008F0A18"/>
    <w:rsid w:val="008F1B4B"/>
    <w:rsid w:val="008F5027"/>
    <w:rsid w:val="00904201"/>
    <w:rsid w:val="00904BDD"/>
    <w:rsid w:val="00931233"/>
    <w:rsid w:val="00952BF8"/>
    <w:rsid w:val="00954D1F"/>
    <w:rsid w:val="009655C6"/>
    <w:rsid w:val="00966E32"/>
    <w:rsid w:val="009970B0"/>
    <w:rsid w:val="009B38FD"/>
    <w:rsid w:val="009C1F97"/>
    <w:rsid w:val="009C5153"/>
    <w:rsid w:val="009D0579"/>
    <w:rsid w:val="009D7BF1"/>
    <w:rsid w:val="009E2416"/>
    <w:rsid w:val="009E487F"/>
    <w:rsid w:val="00A178B5"/>
    <w:rsid w:val="00A42874"/>
    <w:rsid w:val="00A66648"/>
    <w:rsid w:val="00A70727"/>
    <w:rsid w:val="00A911CA"/>
    <w:rsid w:val="00AA4F16"/>
    <w:rsid w:val="00AB5228"/>
    <w:rsid w:val="00AC4B40"/>
    <w:rsid w:val="00AC5DBC"/>
    <w:rsid w:val="00AD580B"/>
    <w:rsid w:val="00AE0E16"/>
    <w:rsid w:val="00AE3D3A"/>
    <w:rsid w:val="00AE7C5F"/>
    <w:rsid w:val="00B00CF4"/>
    <w:rsid w:val="00B046C1"/>
    <w:rsid w:val="00B16513"/>
    <w:rsid w:val="00B21934"/>
    <w:rsid w:val="00B26C1F"/>
    <w:rsid w:val="00B33777"/>
    <w:rsid w:val="00B363B8"/>
    <w:rsid w:val="00B4384E"/>
    <w:rsid w:val="00B43A47"/>
    <w:rsid w:val="00B50AB6"/>
    <w:rsid w:val="00B546B5"/>
    <w:rsid w:val="00B618F2"/>
    <w:rsid w:val="00B66139"/>
    <w:rsid w:val="00B718F4"/>
    <w:rsid w:val="00B771C5"/>
    <w:rsid w:val="00B80E75"/>
    <w:rsid w:val="00B85A84"/>
    <w:rsid w:val="00B86715"/>
    <w:rsid w:val="00B903B9"/>
    <w:rsid w:val="00BA2DF7"/>
    <w:rsid w:val="00BB2DA8"/>
    <w:rsid w:val="00BC071B"/>
    <w:rsid w:val="00BC4CB9"/>
    <w:rsid w:val="00BD1642"/>
    <w:rsid w:val="00BD6C58"/>
    <w:rsid w:val="00BE1D02"/>
    <w:rsid w:val="00BF3436"/>
    <w:rsid w:val="00C03BAC"/>
    <w:rsid w:val="00C173ED"/>
    <w:rsid w:val="00C2180E"/>
    <w:rsid w:val="00C21C65"/>
    <w:rsid w:val="00C329FC"/>
    <w:rsid w:val="00C34765"/>
    <w:rsid w:val="00C5598F"/>
    <w:rsid w:val="00C62E9E"/>
    <w:rsid w:val="00C705E0"/>
    <w:rsid w:val="00C825DE"/>
    <w:rsid w:val="00C91271"/>
    <w:rsid w:val="00C97E3D"/>
    <w:rsid w:val="00CA726B"/>
    <w:rsid w:val="00CC2328"/>
    <w:rsid w:val="00CC6749"/>
    <w:rsid w:val="00CC78C7"/>
    <w:rsid w:val="00CE36F7"/>
    <w:rsid w:val="00CF37C0"/>
    <w:rsid w:val="00CF475C"/>
    <w:rsid w:val="00D02566"/>
    <w:rsid w:val="00D11CCA"/>
    <w:rsid w:val="00D132C1"/>
    <w:rsid w:val="00D2289B"/>
    <w:rsid w:val="00D244A2"/>
    <w:rsid w:val="00D34547"/>
    <w:rsid w:val="00D54DDF"/>
    <w:rsid w:val="00D967AD"/>
    <w:rsid w:val="00DD1669"/>
    <w:rsid w:val="00DF35DE"/>
    <w:rsid w:val="00DF3A54"/>
    <w:rsid w:val="00DF3CE1"/>
    <w:rsid w:val="00E00B70"/>
    <w:rsid w:val="00E26E86"/>
    <w:rsid w:val="00E3521D"/>
    <w:rsid w:val="00E3678E"/>
    <w:rsid w:val="00E36DBB"/>
    <w:rsid w:val="00E4327D"/>
    <w:rsid w:val="00E460D8"/>
    <w:rsid w:val="00E56EA9"/>
    <w:rsid w:val="00E57C69"/>
    <w:rsid w:val="00E60011"/>
    <w:rsid w:val="00E6013E"/>
    <w:rsid w:val="00E604A3"/>
    <w:rsid w:val="00E66656"/>
    <w:rsid w:val="00E77E0E"/>
    <w:rsid w:val="00E8138E"/>
    <w:rsid w:val="00E8666F"/>
    <w:rsid w:val="00E93478"/>
    <w:rsid w:val="00EA2A43"/>
    <w:rsid w:val="00EA7615"/>
    <w:rsid w:val="00EB0625"/>
    <w:rsid w:val="00EB2E2E"/>
    <w:rsid w:val="00EC1F41"/>
    <w:rsid w:val="00EC4B4D"/>
    <w:rsid w:val="00EC4BC1"/>
    <w:rsid w:val="00ED3E7B"/>
    <w:rsid w:val="00ED67D8"/>
    <w:rsid w:val="00EF4E94"/>
    <w:rsid w:val="00F41B2F"/>
    <w:rsid w:val="00F738F8"/>
    <w:rsid w:val="00F76244"/>
    <w:rsid w:val="00F82004"/>
    <w:rsid w:val="00F967AF"/>
    <w:rsid w:val="00FA2EC1"/>
    <w:rsid w:val="00FA6153"/>
    <w:rsid w:val="00FA625F"/>
    <w:rsid w:val="00FA65EF"/>
    <w:rsid w:val="00FA7C33"/>
    <w:rsid w:val="00FA7C9B"/>
    <w:rsid w:val="00FC0F9F"/>
    <w:rsid w:val="00FC7BA7"/>
    <w:rsid w:val="00FE4361"/>
    <w:rsid w:val="00FE5B9C"/>
    <w:rsid w:val="00FF2654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0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E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E36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8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0E75"/>
    <w:rPr>
      <w:rFonts w:cs="Times New Roman"/>
    </w:rPr>
  </w:style>
  <w:style w:type="paragraph" w:styleId="a8">
    <w:name w:val="footer"/>
    <w:basedOn w:val="a"/>
    <w:link w:val="a9"/>
    <w:uiPriority w:val="99"/>
    <w:rsid w:val="00B8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0E75"/>
    <w:rPr>
      <w:rFonts w:cs="Times New Roman"/>
    </w:rPr>
  </w:style>
  <w:style w:type="paragraph" w:styleId="aa">
    <w:name w:val="No Spacing"/>
    <w:uiPriority w:val="99"/>
    <w:qFormat/>
    <w:rsid w:val="00C5598F"/>
    <w:rPr>
      <w:rFonts w:eastAsia="Times New Roman" w:cs="Calibri"/>
    </w:rPr>
  </w:style>
  <w:style w:type="table" w:styleId="ab">
    <w:name w:val="Table Grid"/>
    <w:basedOn w:val="a1"/>
    <w:uiPriority w:val="99"/>
    <w:rsid w:val="00266427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8A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5E6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0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E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E36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8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0E75"/>
    <w:rPr>
      <w:rFonts w:cs="Times New Roman"/>
    </w:rPr>
  </w:style>
  <w:style w:type="paragraph" w:styleId="a8">
    <w:name w:val="footer"/>
    <w:basedOn w:val="a"/>
    <w:link w:val="a9"/>
    <w:uiPriority w:val="99"/>
    <w:rsid w:val="00B80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0E75"/>
    <w:rPr>
      <w:rFonts w:cs="Times New Roman"/>
    </w:rPr>
  </w:style>
  <w:style w:type="paragraph" w:styleId="aa">
    <w:name w:val="No Spacing"/>
    <w:uiPriority w:val="99"/>
    <w:qFormat/>
    <w:rsid w:val="00C5598F"/>
    <w:rPr>
      <w:rFonts w:eastAsia="Times New Roman" w:cs="Calibri"/>
    </w:rPr>
  </w:style>
  <w:style w:type="table" w:styleId="ab">
    <w:name w:val="Table Grid"/>
    <w:basedOn w:val="a1"/>
    <w:uiPriority w:val="99"/>
    <w:rsid w:val="00266427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8A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5E6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cp:lastPrinted>2019-03-25T05:55:00Z</cp:lastPrinted>
  <dcterms:created xsi:type="dcterms:W3CDTF">2022-03-17T09:32:00Z</dcterms:created>
  <dcterms:modified xsi:type="dcterms:W3CDTF">2022-03-24T02:31:00Z</dcterms:modified>
</cp:coreProperties>
</file>